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4F0DD36E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436775B9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5B5043" w:rsidRPr="00F752D6">
        <w:rPr>
          <w:rFonts w:ascii="Times New Roman" w:hAnsi="Times New Roman" w:cs="Times New Roman"/>
          <w:sz w:val="20"/>
          <w:szCs w:val="20"/>
          <w:highlight w:val="red"/>
        </w:rPr>
        <w:t>Орлова Петра Валериевича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F752D6" w:rsidRPr="00F752D6">
        <w:rPr>
          <w:rFonts w:ascii="Times New Roman" w:hAnsi="Times New Roman" w:cs="Times New Roman"/>
          <w:sz w:val="20"/>
          <w:szCs w:val="20"/>
          <w:highlight w:val="red"/>
        </w:rPr>
        <w:t>Решения Арбитражного суда Республики Крым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 w:rsidRPr="00F752D6">
        <w:rPr>
          <w:rFonts w:ascii="Times New Roman" w:hAnsi="Times New Roman" w:cs="Times New Roman"/>
          <w:sz w:val="20"/>
          <w:szCs w:val="20"/>
          <w:highlight w:val="red"/>
        </w:rPr>
        <w:t>«21» января 2019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="00F752D6" w:rsidRPr="00F752D6">
        <w:rPr>
          <w:rFonts w:ascii="Times New Roman" w:hAnsi="Times New Roman" w:cs="Times New Roman"/>
          <w:sz w:val="20"/>
          <w:szCs w:val="20"/>
          <w:highlight w:val="red"/>
        </w:rPr>
        <w:t>А83-16597/2018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77777777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7B7406" w:rsidRPr="00F752D6">
        <w:rPr>
          <w:rFonts w:ascii="Times New Roman" w:hAnsi="Times New Roman" w:cs="Times New Roman"/>
          <w:sz w:val="20"/>
          <w:szCs w:val="20"/>
          <w:highlight w:val="red"/>
        </w:rPr>
        <w:t>Орлова Петра Валериевича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723C51" w:rsidRPr="007B7406">
        <w:rPr>
          <w:rFonts w:ascii="Times New Roman" w:hAnsi="Times New Roman" w:cs="Times New Roman"/>
          <w:sz w:val="20"/>
          <w:szCs w:val="20"/>
          <w:highlight w:val="red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4303EC82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5B5043" w:rsidRPr="007B7406">
        <w:rPr>
          <w:rFonts w:ascii="Times New Roman" w:hAnsi="Times New Roman" w:cs="Times New Roman"/>
          <w:sz w:val="20"/>
          <w:szCs w:val="20"/>
          <w:highlight w:val="red"/>
        </w:rPr>
        <w:t>Банк получателя Пензенское отделение ПАО Сбербанк №8624, кс 30101810000000000635, БИК: 045655635, Получатель Орлов Петр Валерьевич, лицевой счет – 40817810248001889470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316FDB" w14:textId="1A6557E3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  <w:highlight w:val="red"/>
              </w:rPr>
              <w:t>Банк получателя ФИЛИАЛ ЦЕНТРАЛЬНЫЙ ПАО СОВКОМБАНК, кс 30101810150040000763, БИК: 045004763, ИНН: 4401116480, ОГРН: 1144400000425, КПП: 544543001, Получатель Маслова Галина Ивановна, лицевой счет – 40817810150173853350.</w:t>
            </w:r>
          </w:p>
          <w:p w14:paraId="319CD0E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29DC" w14:textId="77777777" w:rsidR="00E628B8" w:rsidRDefault="00E628B8">
      <w:pPr>
        <w:spacing w:after="0" w:line="240" w:lineRule="auto"/>
      </w:pPr>
      <w:r>
        <w:separator/>
      </w:r>
    </w:p>
  </w:endnote>
  <w:endnote w:type="continuationSeparator" w:id="0">
    <w:p w14:paraId="158C7C60" w14:textId="77777777" w:rsidR="00E628B8" w:rsidRDefault="00E6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8598" w14:textId="77777777" w:rsidR="00E628B8" w:rsidRDefault="00E628B8">
      <w:pPr>
        <w:spacing w:after="0" w:line="240" w:lineRule="auto"/>
      </w:pPr>
      <w:r>
        <w:separator/>
      </w:r>
    </w:p>
  </w:footnote>
  <w:footnote w:type="continuationSeparator" w:id="0">
    <w:p w14:paraId="50A6937D" w14:textId="77777777" w:rsidR="00E628B8" w:rsidRDefault="00E62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31418C"/>
    <w:rsid w:val="004D31F5"/>
    <w:rsid w:val="005B4ACB"/>
    <w:rsid w:val="005B5043"/>
    <w:rsid w:val="00723C51"/>
    <w:rsid w:val="0079735F"/>
    <w:rsid w:val="00797CE3"/>
    <w:rsid w:val="007B7406"/>
    <w:rsid w:val="008C6E4E"/>
    <w:rsid w:val="00966E9E"/>
    <w:rsid w:val="00B27D2C"/>
    <w:rsid w:val="00BB4B01"/>
    <w:rsid w:val="00BC0150"/>
    <w:rsid w:val="00BF2740"/>
    <w:rsid w:val="00CE3D60"/>
    <w:rsid w:val="00E628B8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6</cp:revision>
  <dcterms:created xsi:type="dcterms:W3CDTF">2024-04-02T16:20:00Z</dcterms:created>
  <dcterms:modified xsi:type="dcterms:W3CDTF">2026-04-22T10:15:00Z</dcterms:modified>
</cp:coreProperties>
</file>