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0A749D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0A749D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07BE3193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6A045C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562BCF0B" w14:textId="77777777" w:rsidR="000A749D" w:rsidRPr="00654515" w:rsidRDefault="000A749D" w:rsidP="000A749D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654515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№А56-31782/2025 Карманова Е.О. от 03.07.2025 гражданин Санина О. Н. 05.02.1982 г.р., уроженец ст. Николо-Полома, адрес регистрации: г. Санкт-Петербург р-н Кировский пр-кт Маршала Жукова д. 20, лит А кв. 7, ИНН: 442300680131, СНИЛС: 07531684069)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5FDF971" w14:textId="69B2B169" w:rsidR="00DC6CC3" w:rsidRDefault="000A749D" w:rsidP="000A749D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654515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76FDB5E5" w14:textId="77777777" w:rsidR="000A749D" w:rsidRPr="00654515" w:rsidRDefault="000A749D" w:rsidP="000A749D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654515">
        <w:rPr>
          <w:rFonts w:ascii="Verdana" w:hAnsi="Verdana"/>
          <w:b/>
          <w:bCs/>
          <w:color w:val="000000" w:themeColor="text1"/>
          <w:sz w:val="18"/>
          <w:szCs w:val="18"/>
        </w:rPr>
        <w:t>Залоговая -Квартира, назначение – жилое, общей площадью 209,9 кв.м., расположенная по адресу:г. Санкт-Петербург, пр-кт Маршала Жукова, д. 20, литера. А , кв. 7, с кадастровым номером: 78:15:0830101:3229.</w:t>
      </w:r>
    </w:p>
    <w:p w14:paraId="7E381C35" w14:textId="77777777" w:rsidR="000A749D" w:rsidRPr="00654515" w:rsidRDefault="000A749D" w:rsidP="000A749D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14:paraId="0D803DCA" w14:textId="77777777" w:rsidR="000A749D" w:rsidRDefault="000A749D" w:rsidP="000A749D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654515">
        <w:rPr>
          <w:rFonts w:ascii="Verdana" w:hAnsi="Verdana"/>
          <w:b/>
          <w:bCs/>
          <w:color w:val="000000" w:themeColor="text1"/>
          <w:sz w:val="18"/>
          <w:szCs w:val="18"/>
        </w:rPr>
        <w:t>Имущество, реализуется как единый объект недвижимости (независимо от того, какой режим установленной собственности на залоговый объект) и реализуется по одной сделке, если иное не предусмотрено кредитным договором.</w:t>
      </w:r>
    </w:p>
    <w:p w14:paraId="3CF0FB57" w14:textId="75D87EAA" w:rsidR="00383068" w:rsidRPr="00383068" w:rsidRDefault="00383068" w:rsidP="000A749D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D2224C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составляет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4F83E4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так как ранее Покупателем был оплачен задаток в 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) дней с даты подписания Договора по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6DC6E7BD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0A749D">
        <w:rPr>
          <w:rFonts w:ascii="Verdana" w:eastAsia="Times New Roman" w:hAnsi="Verdana" w:cs="Times New Roman"/>
          <w:sz w:val="18"/>
          <w:szCs w:val="24"/>
          <w:lang w:eastAsia="ar-SA"/>
        </w:rPr>
        <w:t>в залоге у ПАО</w:t>
      </w:r>
      <w:bookmarkStart w:id="0" w:name="_GoBack"/>
      <w:bookmarkEnd w:id="0"/>
      <w:r w:rsidR="000A749D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Сбербанк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 /</w:t>
      </w:r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A749D"/>
    <w:rsid w:val="000C0BE6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955B8"/>
    <w:rsid w:val="003F54C3"/>
    <w:rsid w:val="00441F80"/>
    <w:rsid w:val="0044376A"/>
    <w:rsid w:val="00496457"/>
    <w:rsid w:val="004E2FCF"/>
    <w:rsid w:val="0057130D"/>
    <w:rsid w:val="006A045C"/>
    <w:rsid w:val="007215EF"/>
    <w:rsid w:val="007648B8"/>
    <w:rsid w:val="00781E27"/>
    <w:rsid w:val="00792142"/>
    <w:rsid w:val="007A3D7A"/>
    <w:rsid w:val="007B56F8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B7DA3"/>
    <w:rsid w:val="00CC3D73"/>
    <w:rsid w:val="00D1207F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37</cp:revision>
  <cp:lastPrinted>2023-03-22T14:10:00Z</cp:lastPrinted>
  <dcterms:created xsi:type="dcterms:W3CDTF">2020-05-14T09:42:00Z</dcterms:created>
  <dcterms:modified xsi:type="dcterms:W3CDTF">2026-04-21T13:52:00Z</dcterms:modified>
</cp:coreProperties>
</file>