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 Санкт-Петербург</w:t>
      </w:r>
      <w:r/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29 января 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Финансовый управляющий Демьяненко Николая Александровича Газизова Наталья Андреевна, действующая на основании решения </w:t>
      </w:r>
      <w:r>
        <w:rPr>
          <w:rFonts w:ascii="Times New Roman" w:hAnsi="Times New Roman"/>
        </w:rPr>
        <w:t xml:space="preserve">города Санкт-Петербурга и Ленинградской области 07.05.2025 г. по делу № А56-31919/2025</w:t>
      </w:r>
      <w:r/>
      <w:r>
        <w:rPr>
          <w:rFonts w:ascii="Times New Roman" w:hAnsi="Times New Roman"/>
          <w:sz w:val="24"/>
          <w:szCs w:val="24"/>
        </w:rPr>
        <w:t xml:space="preserve">, которым Демьяненко Николай Александрович признан несостоятельным (банкротом) и </w:t>
      </w:r>
      <w:r>
        <w:rPr>
          <w:rFonts w:ascii="Times New Roman" w:hAnsi="Times New Roman"/>
          <w:sz w:val="24"/>
          <w:szCs w:val="24"/>
        </w:rPr>
        <w:t xml:space="preserve">введена процедура реализации имущества, именуемая в дальнейшем «Продавец», с одной стороны, и</w:t>
      </w:r>
      <w:r/>
    </w:p>
    <w:p>
      <w:pPr>
        <w:pStyle w:val="834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___________________________, именуемый в дальнейшем «Заявитель», с другой стороны, заключили настоящий договор о нижеследующем: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Демьяненко Николая Александровича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Демьяненко Николая Александровича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  <w:t xml:space="preserve">Краснодарского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Демьяненко Николая Александровича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Абзац списка"/>
    <w:basedOn w:val="834"/>
    <w:next w:val="838"/>
    <w:link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4</cp:revision>
  <dcterms:created xsi:type="dcterms:W3CDTF">2025-05-14T11:34:00Z</dcterms:created>
  <dcterms:modified xsi:type="dcterms:W3CDTF">2026-01-29T13:44:13Z</dcterms:modified>
  <cp:version>1048576</cp:version>
</cp:coreProperties>
</file>