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1B241E" w:rsidRPr="001B241E" w:rsidRDefault="001B241E" w:rsidP="001B241E">
      <w:pPr>
        <w:pStyle w:val="ConsPlusNonformat"/>
        <w:spacing w:before="120"/>
        <w:ind w:left="-2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24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Лот № 71: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Автомобиль с</w:t>
      </w:r>
      <w:r w:rsidRPr="001B24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пециальный, грузовой бортовой оснащенный краном- манипулятором УСТ 54532E, 2023 г.в., VIN Z0V54532EP5000378, цвет белый.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E61F27">
        <w:rPr>
          <w:rFonts w:ascii="Times New Roman" w:hAnsi="Times New Roman" w:cs="Times New Roman"/>
          <w:sz w:val="24"/>
          <w:szCs w:val="24"/>
        </w:rPr>
        <w:t xml:space="preserve"> на основании Договора лизинга № </w:t>
      </w:r>
      <w:r w:rsidR="00897F37">
        <w:rPr>
          <w:rFonts w:ascii="Times New Roman" w:hAnsi="Times New Roman" w:cs="Times New Roman"/>
          <w:sz w:val="24"/>
          <w:szCs w:val="24"/>
        </w:rPr>
        <w:t>16518-МСК-23-АМ-Л</w:t>
      </w:r>
      <w:r w:rsidR="00E61F27">
        <w:rPr>
          <w:rFonts w:ascii="Times New Roman" w:hAnsi="Times New Roman" w:cs="Times New Roman"/>
          <w:sz w:val="24"/>
          <w:szCs w:val="24"/>
        </w:rPr>
        <w:t xml:space="preserve"> от </w:t>
      </w:r>
      <w:r w:rsidR="00897F37">
        <w:rPr>
          <w:rFonts w:ascii="Times New Roman" w:hAnsi="Times New Roman" w:cs="Times New Roman"/>
          <w:sz w:val="24"/>
          <w:szCs w:val="24"/>
        </w:rPr>
        <w:t>19.04.2023</w:t>
      </w:r>
      <w:r w:rsidR="00E61F27">
        <w:rPr>
          <w:rFonts w:ascii="Times New Roman" w:hAnsi="Times New Roman" w:cs="Times New Roman"/>
          <w:sz w:val="24"/>
          <w:szCs w:val="24"/>
        </w:rPr>
        <w:t xml:space="preserve"> г.,</w:t>
      </w:r>
      <w:r w:rsidR="008B2CFE">
        <w:rPr>
          <w:rFonts w:ascii="Times New Roman" w:hAnsi="Times New Roman" w:cs="Times New Roman"/>
          <w:sz w:val="24"/>
          <w:szCs w:val="24"/>
        </w:rPr>
        <w:t xml:space="preserve"> Договора купли-продажи от 20.08.2025 г.,</w:t>
      </w:r>
      <w:r w:rsidR="00E61F27">
        <w:rPr>
          <w:rFonts w:ascii="Times New Roman" w:hAnsi="Times New Roman" w:cs="Times New Roman"/>
          <w:sz w:val="24"/>
          <w:szCs w:val="24"/>
        </w:rPr>
        <w:t xml:space="preserve"> Акта приема-передачи предмета лизинга в собственность от 20.08.2025 г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</w:t>
      </w:r>
      <w:bookmarkStart w:id="0" w:name="_GoBack"/>
      <w:bookmarkEnd w:id="0"/>
      <w:r w:rsidR="00523DC1" w:rsidRPr="0084121B">
        <w:rPr>
          <w:rFonts w:ascii="Times New Roman" w:hAnsi="Times New Roman" w:cs="Times New Roman"/>
          <w:sz w:val="24"/>
          <w:szCs w:val="24"/>
        </w:rPr>
        <w:t>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lastRenderedPageBreak/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lastRenderedPageBreak/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lastRenderedPageBreak/>
        <w:t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08" w:rsidRDefault="00B80A08" w:rsidP="002C64F5">
      <w:r>
        <w:separator/>
      </w:r>
    </w:p>
  </w:endnote>
  <w:endnote w:type="continuationSeparator" w:id="0">
    <w:p w:rsidR="00B80A08" w:rsidRDefault="00B80A08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08" w:rsidRDefault="00B80A08" w:rsidP="002C64F5">
      <w:r>
        <w:separator/>
      </w:r>
    </w:p>
  </w:footnote>
  <w:footnote w:type="continuationSeparator" w:id="0">
    <w:p w:rsidR="00B80A08" w:rsidRDefault="00B80A08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241E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3B8B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97F37"/>
    <w:rsid w:val="008A146A"/>
    <w:rsid w:val="008A5A5E"/>
    <w:rsid w:val="008B2CF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3799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80A08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5CAC"/>
    <w:rsid w:val="00E266F2"/>
    <w:rsid w:val="00E32772"/>
    <w:rsid w:val="00E32C0A"/>
    <w:rsid w:val="00E3741A"/>
    <w:rsid w:val="00E44EC1"/>
    <w:rsid w:val="00E45691"/>
    <w:rsid w:val="00E61F27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A1CA2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41B9EC-98C5-4DF1-BD34-B0212BA1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2026-05-04T14:38:00Z</dcterms:created>
  <dcterms:modified xsi:type="dcterms:W3CDTF">2026-05-04T14:38:00Z</dcterms:modified>
</cp:coreProperties>
</file>