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(ЛОТ №__)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rPr/>
      </w:pPr>
      <w:r>
        <w:rPr>
          <w:rFonts w:cs="Times New Roman" w:ascii="Times New Roman" w:hAnsi="Times New Roman"/>
          <w:sz w:val="24"/>
          <w:szCs w:val="24"/>
        </w:rPr>
        <w:t>город Москва</w:t>
        <w:tab/>
        <w:tab/>
        <w:tab/>
        <w:tab/>
        <w:tab/>
        <w:t xml:space="preserve">                                         «___» _________ 2026 года</w:t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cs="Times New Roman" w:ascii="Times New Roman" w:hAnsi="Times New Roman"/>
          <w:sz w:val="24"/>
          <w:szCs w:val="24"/>
        </w:rPr>
        <w:t xml:space="preserve"> (АО «НИС»,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, эт.3, ком. 21</w:t>
      </w:r>
      <w:r>
        <w:rPr>
          <w:rFonts w:cs="Times New Roman" w:ascii="Times New Roman" w:hAnsi="Times New Roman"/>
          <w:sz w:val="24"/>
          <w:szCs w:val="24"/>
        </w:rPr>
        <w:t>)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и </w:t>
      </w:r>
    </w:p>
    <w:p>
      <w:pPr>
        <w:pStyle w:val="Style19"/>
        <w:ind w:firstLine="567" w:right="0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«Участник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, с другой стороны, и __________________________________________ именуемый в дальнейшем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 w:eastAsia="en-US"/>
        </w:rPr>
        <w:t>«Организатор торгов»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 xml:space="preserve"> заключили настоящий Договор о нижеследующем: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задаток в размере ____ % </w:t>
      </w:r>
      <w:r>
        <w:rPr>
          <w:rFonts w:cs="Times New Roman" w:ascii="Times New Roman" w:hAnsi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1.2.</w:t>
      </w:r>
      <w:r>
        <w:rPr>
          <w:rFonts w:cs="Times New Roman" w:ascii="Times New Roman" w:hAnsi="Times New Roman"/>
          <w:sz w:val="24"/>
          <w:szCs w:val="24"/>
        </w:rPr>
        <w:t xml:space="preserve"> Реквизиты для перечисления задатка:</w:t>
      </w:r>
    </w:p>
    <w:p>
      <w:pPr>
        <w:pStyle w:val="ConsNormal"/>
        <w:widowControl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Получатель платежа</w:t>
      </w:r>
      <w:r>
        <w:rPr>
          <w:rFonts w:cs="Times New Roman" w:ascii="Times New Roman" w:hAnsi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ОГРН 1127746228972, ИНН 7725752265,</w:t>
      </w:r>
      <w:r>
        <w:rPr>
          <w:rFonts w:cs="Times New Roman" w:ascii="Times New Roman" w:hAnsi="Times New Roman"/>
          <w:sz w:val="24"/>
          <w:szCs w:val="24"/>
        </w:rPr>
        <w:t xml:space="preserve"> КПП 770401001, адрес: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119019, г. Москва, набережная Пречистенская, д. 45/1, стр. 1, пом.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US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, эт.3, ком. 21. </w:t>
      </w:r>
    </w:p>
    <w:p>
      <w:pPr>
        <w:pStyle w:val="1-21"/>
        <w:widowControl w:val="false"/>
        <w:spacing w:lineRule="auto" w:line="264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>
      <w:pPr>
        <w:pStyle w:val="1-21"/>
        <w:widowControl w:val="false"/>
        <w:spacing w:lineRule="auto" w:line="264" w:before="0" w:after="0"/>
        <w:ind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>
      <w:pPr>
        <w:pStyle w:val="ConsNormal"/>
        <w:widowControl/>
        <w:ind w:firstLine="567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1.3.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Федеральным законом "О несостоятельности (банкротстве)" № 127-ФЗ ст.110; Гражданским кодексом Российской Федерации ст.380, ст.381, ст.448, в случае использования счета для задатков Оператора электронной площадки АО «НИС», размер задатка устанавливается без НДС.</w:t>
      </w:r>
    </w:p>
    <w:p>
      <w:pPr>
        <w:pStyle w:val="1-21"/>
        <w:widowControl w:val="false"/>
        <w:spacing w:lineRule="auto" w:line="264" w:before="0" w:after="0"/>
        <w:ind w:left="0" w:righ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</w:t>
      </w:r>
      <w:r>
        <w:rPr>
          <w:rFonts w:cs="Times New Roman" w:ascii="Times New Roman" w:hAnsi="Times New Roman"/>
          <w:sz w:val="24"/>
          <w:szCs w:val="24"/>
        </w:rPr>
        <w:t xml:space="preserve"> Участник торгов обязан: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2.1.1.</w:t>
      </w:r>
      <w:r>
        <w:rPr>
          <w:rFonts w:cs="Times New Roman" w:ascii="Times New Roman" w:hAnsi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cs="Times New Roman" w:ascii="Times New Roman" w:hAnsi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2.1.2.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>
      <w:pPr>
        <w:pStyle w:val="ConsNormal"/>
        <w:widowControl/>
        <w:ind w:firstLine="540" w:right="0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2.1.3.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cs="Times New Roman" w:ascii="Times New Roman" w:hAnsi="Times New Roman"/>
          <w:sz w:val="24"/>
          <w:szCs w:val="24"/>
        </w:rPr>
        <w:t xml:space="preserve">имущество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>
      <w:pPr>
        <w:pStyle w:val="Normal"/>
        <w:ind w:firstLine="540" w:right="0"/>
        <w:jc w:val="both"/>
        <w:rPr/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>
      <w:pPr>
        <w:pStyle w:val="Normal"/>
        <w:ind w:firstLine="540" w:right="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>
      <w:pPr>
        <w:pStyle w:val="Normal"/>
        <w:jc w:val="both"/>
        <w:rPr/>
      </w:pPr>
      <w:r>
        <w:rPr>
          <w:rFonts w:eastAsia="Times New Roman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2.2.1.</w:t>
      </w:r>
      <w:r>
        <w:rPr>
          <w:rFonts w:cs="Times New Roman" w:ascii="Times New Roman" w:hAnsi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2.2.2.</w:t>
      </w:r>
      <w:r>
        <w:rPr>
          <w:rFonts w:cs="Times New Roman" w:ascii="Times New Roman" w:hAnsi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2.2.3.</w:t>
      </w:r>
      <w:r>
        <w:rPr>
          <w:rFonts w:cs="Times New Roman" w:ascii="Times New Roman" w:hAnsi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2.2.4.</w:t>
      </w:r>
      <w:r>
        <w:rPr>
          <w:rFonts w:cs="Times New Roman" w:ascii="Times New Roman" w:hAnsi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2.2.5.</w:t>
      </w:r>
      <w:r>
        <w:rPr>
          <w:rFonts w:cs="Times New Roman" w:ascii="Times New Roman" w:hAnsi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2.3.</w:t>
      </w:r>
      <w:r>
        <w:rPr>
          <w:rFonts w:cs="Times New Roman" w:ascii="Times New Roman" w:hAnsi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Договор купли-продажи </w:t>
      </w:r>
      <w:r>
        <w:rPr>
          <w:rFonts w:cs="Times New Roman" w:ascii="Times New Roman" w:hAnsi="Times New Roman"/>
          <w:sz w:val="24"/>
          <w:szCs w:val="24"/>
        </w:rPr>
        <w:t>в установленных сумме и сроках.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2.4.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>
        <w:rPr>
          <w:rFonts w:cs="Times New Roman" w:ascii="Times New Roman" w:hAnsi="Times New Roman"/>
          <w:sz w:val="24"/>
          <w:szCs w:val="24"/>
        </w:rPr>
        <w:t xml:space="preserve">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2.4.1.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2.4.2. </w:t>
      </w:r>
      <w:r>
        <w:rPr>
          <w:rFonts w:cs="Times New Roman" w:ascii="Times New Roman" w:hAnsi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2.4.3.</w:t>
      </w:r>
      <w:r>
        <w:rPr>
          <w:rFonts w:cs="Times New Roman" w:ascii="Times New Roman" w:hAnsi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2.4.4.</w:t>
      </w:r>
      <w:r>
        <w:rPr>
          <w:rFonts w:cs="Times New Roman" w:ascii="Times New Roman" w:hAnsi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cs="Times New Roman" w:ascii="Times New Roman" w:hAnsi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cs="Times New Roman" w:ascii="Times New Roman" w:hAnsi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3.2. </w:t>
      </w:r>
      <w:r>
        <w:rPr>
          <w:rFonts w:cs="Times New Roman"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4.1.</w:t>
      </w:r>
      <w:r>
        <w:rPr>
          <w:rFonts w:cs="Times New Roman" w:ascii="Times New Roman" w:hAnsi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>
      <w:pPr>
        <w:pStyle w:val="ConsNormal"/>
        <w:widowControl/>
        <w:ind w:firstLine="540" w:right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4.2.</w:t>
      </w:r>
      <w:r>
        <w:rPr>
          <w:rFonts w:cs="Times New Roman"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>
      <w:pPr>
        <w:pStyle w:val="Normal"/>
        <w:ind w:firstLine="540" w:right="0"/>
        <w:jc w:val="both"/>
        <w:rPr/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2">
        <w:r>
          <w:rPr>
            <w:rStyle w:val="Hyperlink"/>
            <w:sz w:val="24"/>
            <w:szCs w:val="24"/>
            <w:shd w:fill="FFFFFF" w:val="clear"/>
          </w:rPr>
          <w:t>_______________________</w:t>
        </w:r>
      </w:hyperlink>
      <w:r>
        <w:rPr>
          <w:color w:val="000000"/>
          <w:sz w:val="24"/>
          <w:szCs w:val="24"/>
          <w:shd w:fill="FFFFFF" w:val="clear"/>
        </w:rPr>
        <w:t>.</w:t>
      </w:r>
      <w:r>
        <w:rPr>
          <w:color w:val="666666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>Телефон для связи – +7___________________.</w:t>
      </w:r>
    </w:p>
    <w:p>
      <w:pPr>
        <w:pStyle w:val="Normal"/>
        <w:ind w:firstLine="54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3315" w:leader="none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>
      <w:pPr>
        <w:pStyle w:val="Normal"/>
        <w:tabs>
          <w:tab w:val="clear" w:pos="720"/>
          <w:tab w:val="left" w:pos="3315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  <w:tab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 w:eastAsia="en-US"/>
              </w:rPr>
              <w:t>ОГРН 1127746228972           ИНН 7725752265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>
            <w:pPr>
              <w:pStyle w:val="Normal"/>
              <w:widowControl w:val="false"/>
              <w:spacing w:lineRule="auto" w:line="264"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Генеральный директор АО «НИС»</w:t>
            </w:r>
          </w:p>
          <w:p>
            <w:pPr>
              <w:pStyle w:val="1-21"/>
              <w:widowControl w:val="false"/>
              <w:spacing w:lineRule="auto" w:line="264" w:before="0" w:after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  <w:tab w:val="left" w:pos="3315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15" w:leader="none"/>
              </w:tabs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right"/>
        <w:rPr/>
      </w:pPr>
      <w:r>
        <w:rPr>
          <w:b/>
          <w:sz w:val="24"/>
          <w:szCs w:val="24"/>
        </w:rPr>
        <w:t>Приложение №1</w:t>
      </w:r>
    </w:p>
    <w:p>
      <w:pPr>
        <w:pStyle w:val="Normal"/>
        <w:keepNext w:val="tru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/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счет: ___________ *(указать должника или продавца) 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Назначение платежа: Перечисление задатка победителя торгов …………Лот№……..без НДС"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>
      <w:pPr>
        <w:pStyle w:val="Normal"/>
        <w:keepNext w:val="tru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ИНН Получателя: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р/с: </w:t>
      </w:r>
    </w:p>
    <w:p>
      <w:pPr>
        <w:pStyle w:val="Normal"/>
        <w:keepNext w:val="true"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к/с: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 xml:space="preserve">БИК: </w:t>
      </w:r>
    </w:p>
    <w:p>
      <w:pPr>
        <w:pStyle w:val="Normal"/>
        <w:keepNext w:val="true"/>
        <w:jc w:val="both"/>
        <w:rPr/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sectPr>
      <w:headerReference w:type="default" r:id="rId3"/>
      <w:type w:val="nextPage"/>
      <w:pgSz w:w="11906" w:h="16838"/>
      <w:pgMar w:left="1134" w:right="1134" w:gutter="0" w:header="720" w:top="7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text">
    <w:name w:val="text"/>
    <w:basedOn w:val="1"/>
    <w:qFormat/>
    <w:rPr/>
  </w:style>
  <w:style w:type="character" w:styleId="Style15">
    <w:name w:val="Верхний колонтитул Знак"/>
    <w:basedOn w:val="1"/>
    <w:qFormat/>
    <w:rPr/>
  </w:style>
  <w:style w:type="character" w:styleId="Style16">
    <w:name w:val="Нижний колонтитул Знак"/>
    <w:basedOn w:val="1"/>
    <w:qFormat/>
    <w:rPr/>
  </w:style>
  <w:style w:type="character" w:styleId="Hyperlink">
    <w:name w:val="Hyperlink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7">
    <w:name w:val="Название объекта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ConsNormal">
    <w:name w:val="ConsNormal"/>
    <w:qFormat/>
    <w:pPr>
      <w:widowControl w:val="false"/>
      <w:suppressAutoHyphens w:val="tru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bidi w:val="0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BodyTextIndent">
    <w:name w:val="Body Text Indent"/>
    <w:basedOn w:val="Normal"/>
    <w:pPr>
      <w:ind w:firstLine="708" w:left="0" w:right="0"/>
      <w:jc w:val="both"/>
    </w:pPr>
    <w:rPr>
      <w:sz w:val="24"/>
      <w:szCs w:val="24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9">
    <w:name w:val="Таблицы (моноширинный)"/>
    <w:basedOn w:val="Normal"/>
    <w:next w:val="Normal"/>
    <w:qFormat/>
    <w:pPr>
      <w:widowControl w:val="false"/>
      <w:autoSpaceDE w:val="false"/>
      <w:jc w:val="both"/>
    </w:pPr>
    <w:rPr>
      <w:rFonts w:ascii="Courier New" w:hAnsi="Courier New" w:cs="Courier New"/>
    </w:rPr>
  </w:style>
  <w:style w:type="paragraph" w:styleId="zagolovok6">
    <w:name w:val="zagolovok6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-21">
    <w:name w:val="Средняя сетка 1 - Акцент 21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autoSpaceDE w:val="false"/>
      <w:bidi w:val="0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pt.treid.arbirt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2026-01-19T10:08:00Z</dcterms:created>
  <dc:creator>Reanimator 98</dc:creator>
  <dc:description/>
  <cp:keywords/>
  <dc:language>en-US</dc:language>
  <cp:lastModifiedBy>Пользователь Windows</cp:lastModifiedBy>
  <cp:lastPrinted>2017-03-17T19:23:00Z</cp:lastPrinted>
  <dcterms:modified xsi:type="dcterms:W3CDTF">2026-02-19T11:29:00Z</dcterms:modified>
  <cp:revision>16</cp:revision>
  <dc:subject/>
  <dc:title>ДОГОВОР О ЗАДАТКЕ No</dc:title>
</cp:coreProperties>
</file>