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66730" w:rsidP="004C6F2E">
      <w:pPr>
        <w:ind w:firstLine="709"/>
        <w:jc w:val="both"/>
        <w:rPr>
          <w:noProof/>
          <w:sz w:val="20"/>
          <w:szCs w:val="20"/>
        </w:rPr>
      </w:pPr>
      <w:r w:rsidRPr="00264C62">
        <w:rPr>
          <w:noProof/>
          <w:sz w:val="20"/>
          <w:szCs w:val="20"/>
        </w:rPr>
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Pr="0011135E">
        <w:rPr>
          <w:color w:val="000000"/>
          <w:sz w:val="20"/>
          <w:szCs w:val="20"/>
          <w:lang w:eastAsia="en-US"/>
        </w:rPr>
        <w:t>,</w:t>
      </w:r>
      <w:r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Pr="0011135E">
        <w:rPr>
          <w:sz w:val="20"/>
          <w:szCs w:val="20"/>
          <w:lang w:eastAsia="en-US"/>
        </w:rPr>
        <w:t xml:space="preserve">, действующая на основании </w:t>
      </w:r>
      <w:r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43717D">
        <w:rPr>
          <w:noProof/>
          <w:sz w:val="20"/>
          <w:szCs w:val="20"/>
        </w:rPr>
        <w:t xml:space="preserve">Республики Татарстан </w:t>
      </w:r>
      <w:r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</w:p>
    <w:p w:rsidR="00866730" w:rsidRDefault="00866730" w:rsidP="004C6F2E">
      <w:pPr>
        <w:ind w:firstLine="709"/>
        <w:jc w:val="both"/>
        <w:rPr>
          <w:noProof/>
          <w:sz w:val="20"/>
          <w:szCs w:val="20"/>
        </w:rPr>
      </w:pPr>
    </w:p>
    <w:p w:rsidR="00866730" w:rsidRDefault="00866730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866730" w:rsidRPr="00264C62">
        <w:rPr>
          <w:noProof/>
          <w:sz w:val="20"/>
          <w:szCs w:val="20"/>
        </w:rPr>
        <w:t>Нуреев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Айнур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Линарович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="00D803DA">
        <w:rPr>
          <w:noProof/>
          <w:sz w:val="20"/>
          <w:szCs w:val="20"/>
        </w:rPr>
        <w:t xml:space="preserve">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866730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="00866730" w:rsidRPr="0043717D">
        <w:rPr>
          <w:noProof/>
          <w:sz w:val="20"/>
          <w:szCs w:val="20"/>
        </w:rPr>
        <w:t xml:space="preserve">Республики Татарстан </w:t>
      </w:r>
      <w:r w:rsidR="00866730"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866730" w:rsidRPr="00264C62">
        <w:rPr>
          <w:noProof/>
          <w:sz w:val="20"/>
        </w:rPr>
        <w:t>Нуреев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Айнур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Линарович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866730" w:rsidRPr="00264C62">
        <w:rPr>
          <w:noProof/>
          <w:sz w:val="20"/>
          <w:szCs w:val="20"/>
        </w:rPr>
        <w:t>Нуреев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Айнур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Линарович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866730" w:rsidRPr="00866730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Получатель: Нуреев Айнур Линарович</w:t>
      </w:r>
    </w:p>
    <w:p w:rsidR="00866730" w:rsidRPr="00866730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счет 40817810750222636789</w:t>
      </w:r>
    </w:p>
    <w:p w:rsidR="00866730" w:rsidRPr="00866730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к/с 30101810150040000763, БИК 045004763, ИНН БАНКА 4401116480, КПП БАНКА 544543001</w:t>
      </w:r>
      <w:r w:rsidR="00D803DA" w:rsidRPr="00D803DA">
        <w:rPr>
          <w:sz w:val="20"/>
          <w:szCs w:val="20"/>
          <w:lang w:eastAsia="ru-RU"/>
        </w:rPr>
        <w:t xml:space="preserve">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866730" w:rsidRPr="00264C62">
        <w:rPr>
          <w:noProof/>
          <w:sz w:val="20"/>
        </w:rPr>
        <w:t>Нуреев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Айнур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Линарович</w:t>
      </w:r>
      <w:r w:rsidR="00866730">
        <w:rPr>
          <w:noProof/>
          <w:sz w:val="20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866730" w:rsidRPr="00264C62">
        <w:rPr>
          <w:noProof/>
          <w:sz w:val="20"/>
        </w:rPr>
        <w:t>Нуреев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Айнур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Линарович</w:t>
      </w:r>
      <w:r w:rsidR="00866730">
        <w:rPr>
          <w:noProof/>
          <w:sz w:val="20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lastRenderedPageBreak/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866730" w:rsidRPr="00264C62">
              <w:rPr>
                <w:noProof/>
                <w:sz w:val="20"/>
                <w:szCs w:val="20"/>
              </w:rPr>
              <w:t>Нуреев</w:t>
            </w:r>
            <w:r w:rsidR="00866730">
              <w:rPr>
                <w:noProof/>
                <w:sz w:val="20"/>
                <w:szCs w:val="20"/>
              </w:rPr>
              <w:t>а</w:t>
            </w:r>
            <w:r w:rsidR="00866730" w:rsidRPr="00264C62">
              <w:rPr>
                <w:noProof/>
                <w:sz w:val="20"/>
                <w:szCs w:val="20"/>
              </w:rPr>
              <w:t xml:space="preserve"> Айнур</w:t>
            </w:r>
            <w:r w:rsidR="00866730">
              <w:rPr>
                <w:noProof/>
                <w:sz w:val="20"/>
                <w:szCs w:val="20"/>
              </w:rPr>
              <w:t>а</w:t>
            </w:r>
            <w:r w:rsidR="00866730" w:rsidRPr="00264C62">
              <w:rPr>
                <w:noProof/>
                <w:sz w:val="20"/>
                <w:szCs w:val="20"/>
              </w:rPr>
              <w:t xml:space="preserve"> Линарович</w:t>
            </w:r>
            <w:r w:rsidR="00866730">
              <w:rPr>
                <w:noProof/>
                <w:sz w:val="20"/>
                <w:szCs w:val="20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866730" w:rsidRPr="00866730" w:rsidRDefault="00866730" w:rsidP="008667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866730">
              <w:rPr>
                <w:sz w:val="20"/>
                <w:szCs w:val="20"/>
                <w:lang w:eastAsia="ru-RU"/>
              </w:rPr>
              <w:t>Получатель: Нуреев Айнур Линарович</w:t>
            </w:r>
          </w:p>
          <w:p w:rsidR="00866730" w:rsidRPr="00866730" w:rsidRDefault="00866730" w:rsidP="008667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866730">
              <w:rPr>
                <w:sz w:val="20"/>
                <w:szCs w:val="20"/>
                <w:lang w:eastAsia="ru-RU"/>
              </w:rPr>
              <w:t>счет 40817810750222636789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866730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866730" w:rsidP="00866730">
            <w:pPr>
              <w:jc w:val="both"/>
              <w:rPr>
                <w:b/>
                <w:sz w:val="20"/>
                <w:szCs w:val="20"/>
              </w:rPr>
            </w:pPr>
            <w:r w:rsidRPr="00866730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05" w:rsidRDefault="000A7105" w:rsidP="00CE51EC">
      <w:r>
        <w:separator/>
      </w:r>
    </w:p>
  </w:endnote>
  <w:endnote w:type="continuationSeparator" w:id="0">
    <w:p w:rsidR="000A7105" w:rsidRDefault="000A7105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05" w:rsidRDefault="000A7105" w:rsidP="00CE51EC">
      <w:r>
        <w:separator/>
      </w:r>
    </w:p>
  </w:footnote>
  <w:footnote w:type="continuationSeparator" w:id="0">
    <w:p w:rsidR="000A7105" w:rsidRDefault="000A7105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0A7105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0A7105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A7105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66730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23D1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A229-EA44-4709-8171-EFBD4F7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2026-04-01T11:05:00Z</dcterms:created>
  <dcterms:modified xsi:type="dcterms:W3CDTF">2026-04-01T11:05:00Z</dcterms:modified>
</cp:coreProperties>
</file>