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C82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CB86B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BBD1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923EEC" w14:textId="77777777" w:rsidR="00F27775" w:rsidRDefault="00D84AC5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Сланцы</w:t>
      </w:r>
    </w:p>
    <w:p w14:paraId="4B84D194" w14:textId="77777777" w:rsidR="00F27775" w:rsidRDefault="00D84AC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декабря 2025 г.</w:t>
      </w:r>
    </w:p>
    <w:p w14:paraId="4168FFB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61CD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D4163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84AC5">
        <w:rPr>
          <w:rFonts w:ascii="Times New Roman" w:hAnsi="Times New Roman"/>
          <w:noProof/>
          <w:sz w:val="24"/>
          <w:szCs w:val="24"/>
        </w:rPr>
        <w:t>Кучеренко Евгения Владиславовича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84AC5">
        <w:rPr>
          <w:rFonts w:ascii="Times New Roman" w:hAnsi="Times New Roman"/>
          <w:noProof/>
          <w:sz w:val="24"/>
          <w:szCs w:val="24"/>
        </w:rPr>
        <w:t>14.10.1995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84AC5">
        <w:rPr>
          <w:rFonts w:ascii="Times New Roman" w:hAnsi="Times New Roman"/>
          <w:noProof/>
          <w:sz w:val="24"/>
          <w:szCs w:val="24"/>
        </w:rPr>
        <w:t>пос. Красное Слободзейского р-на Молдавия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84AC5">
        <w:rPr>
          <w:rFonts w:ascii="Times New Roman" w:hAnsi="Times New Roman"/>
          <w:noProof/>
          <w:sz w:val="24"/>
          <w:szCs w:val="24"/>
        </w:rPr>
        <w:t>191-773-037 89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84AC5">
        <w:rPr>
          <w:rFonts w:ascii="Times New Roman" w:hAnsi="Times New Roman"/>
          <w:noProof/>
          <w:sz w:val="24"/>
          <w:szCs w:val="24"/>
        </w:rPr>
        <w:t>784191841619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84AC5">
        <w:rPr>
          <w:rFonts w:ascii="Times New Roman" w:hAnsi="Times New Roman"/>
          <w:noProof/>
          <w:sz w:val="24"/>
          <w:szCs w:val="24"/>
        </w:rPr>
        <w:t>регистрация по месту жительства: 188560, Ленинградская область, г Сланцы, Комсомольское шоссе, д 132</w:t>
      </w:r>
      <w:r>
        <w:rPr>
          <w:rFonts w:ascii="Times New Roman" w:hAnsi="Times New Roman"/>
          <w:sz w:val="24"/>
          <w:szCs w:val="24"/>
        </w:rPr>
        <w:t xml:space="preserve">)  </w:t>
      </w:r>
      <w:r w:rsidR="00D84AC5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84AC5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21.05.2025 г. по делу № А56-18873/2025 Лобсанова Д.Ю.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43278B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C0C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EA346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84AC5">
        <w:rPr>
          <w:rFonts w:ascii="Times New Roman" w:hAnsi="Times New Roman"/>
          <w:noProof/>
          <w:sz w:val="24"/>
          <w:szCs w:val="24"/>
        </w:rPr>
        <w:t>Кучеренко Евгения Владиславовича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E9AC5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8533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30E56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1005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BAA16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CE94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B2119A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84AC5">
        <w:rPr>
          <w:rFonts w:ascii="Times New Roman" w:hAnsi="Times New Roman"/>
          <w:noProof/>
          <w:sz w:val="24"/>
          <w:szCs w:val="24"/>
        </w:rPr>
        <w:t>Кучеренко Евгения Владиславовича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E1DF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7445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5944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9D0B3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DC347D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A8ED2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84AC5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69F0BC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926D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5CC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1F12D0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571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B8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CD504B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900E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84AC5">
              <w:rPr>
                <w:rFonts w:ascii="Times New Roman" w:hAnsi="Times New Roman"/>
                <w:noProof/>
                <w:sz w:val="24"/>
                <w:szCs w:val="24"/>
              </w:rPr>
              <w:t>Кучеренко Евгения Владиславовича</w:t>
            </w:r>
          </w:p>
          <w:p w14:paraId="0D84103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6E91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2DF29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402A2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69E7A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01AE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88DADF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35A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A18C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56F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35CB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BA13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56D19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35B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6612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76D9D"/>
    <w:rsid w:val="00412179"/>
    <w:rsid w:val="0046686D"/>
    <w:rsid w:val="0049059C"/>
    <w:rsid w:val="00555141"/>
    <w:rsid w:val="0057643B"/>
    <w:rsid w:val="00582FEA"/>
    <w:rsid w:val="005A44DE"/>
    <w:rsid w:val="00614239"/>
    <w:rsid w:val="00633086"/>
    <w:rsid w:val="00683F9C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84AC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E03C"/>
  <w15:chartTrackingRefBased/>
  <w15:docId w15:val="{1C6DDE28-6207-4F7B-B9C9-CD47A68B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2025-12-24T09:42:00Z</dcterms:created>
  <dcterms:modified xsi:type="dcterms:W3CDTF">2025-12-24T09:42:00Z</dcterms:modified>
</cp:coreProperties>
</file>