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EFFE1C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107A8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9B33430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C555ED" w:rsidRPr="00C555ED">
        <w:t>Зиньковский Ярослав Николаевич (дата рождения: 14.06.1990 г., место рождения: г. Санкт-Петербург, СНИЛС 145-537-058 66, ИНН 311003792632, адрес регистрации по месту жительства: 183017, Мурманская область, г Мурманск, ул Сафонова, д 23а), в лице финансового управляющего Сазановой Екатерины Сергеевны, действующей на основании Решения Арбитражного суда Мурманской области от 21.11.2025 г. по делу № А42-5704/2025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FC5F6D5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C555ED">
        <w:t>Зиньковского Я.Н.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33F5A29F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C555ED">
        <w:t>Зиньковский Ярослав Николаевич</w:t>
      </w:r>
      <w:r w:rsidR="00B42CAE" w:rsidRPr="00B42CAE">
        <w:t>, ИНН</w:t>
      </w:r>
      <w:r w:rsidR="00210EB6">
        <w:t xml:space="preserve"> </w:t>
      </w:r>
      <w:r w:rsidR="00C555ED" w:rsidRPr="00C555ED">
        <w:t>311003792632</w:t>
      </w:r>
      <w:r w:rsidR="00B42CAE" w:rsidRPr="00B42CAE">
        <w:t xml:space="preserve">; р/с </w:t>
      </w:r>
      <w:r w:rsidR="00C555ED">
        <w:rPr>
          <w:color w:val="000000"/>
          <w:shd w:val="clear" w:color="auto" w:fill="FFFFFF"/>
        </w:rPr>
        <w:t>40817810250222714347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47B9A6DE" w14:textId="77777777" w:rsidR="00C555ED" w:rsidRDefault="00C555ED" w:rsidP="00C555ED">
            <w:pPr>
              <w:pStyle w:val="TableParagraph"/>
              <w:spacing w:line="251" w:lineRule="exact"/>
              <w:ind w:left="50"/>
            </w:pPr>
            <w:r>
              <w:t>Зиньковский Ярослав Николаевич</w:t>
            </w:r>
          </w:p>
          <w:p w14:paraId="384375B4" w14:textId="77777777" w:rsidR="00C555ED" w:rsidRDefault="00C555ED" w:rsidP="00C555ED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  <w:t xml:space="preserve">311003792632; </w:t>
            </w:r>
          </w:p>
          <w:p w14:paraId="49AB8093" w14:textId="77777777" w:rsidR="00C555ED" w:rsidRDefault="00C555ED" w:rsidP="00C555ED">
            <w:pPr>
              <w:pStyle w:val="TableParagraph"/>
              <w:ind w:left="50" w:right="1435"/>
            </w:pPr>
            <w:r>
              <w:t>р/с 40817810250222714347</w:t>
            </w:r>
            <w:r>
              <w:t xml:space="preserve"> </w:t>
            </w:r>
          </w:p>
          <w:p w14:paraId="500C96B8" w14:textId="76878FFB" w:rsidR="00C24056" w:rsidRDefault="00EA0C37" w:rsidP="00C555ED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184989"/>
    <w:rsid w:val="00210EB6"/>
    <w:rsid w:val="00264093"/>
    <w:rsid w:val="002F05DF"/>
    <w:rsid w:val="0030742F"/>
    <w:rsid w:val="003B003D"/>
    <w:rsid w:val="006D4DBC"/>
    <w:rsid w:val="007107A8"/>
    <w:rsid w:val="009E5DA1"/>
    <w:rsid w:val="00B42CAE"/>
    <w:rsid w:val="00C24056"/>
    <w:rsid w:val="00C555ED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2026-02-10T08:11:00Z</dcterms:created>
  <dcterms:modified xsi:type="dcterms:W3CDTF">2026-03-05T13:02:00Z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