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58C24ED8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EC152F" w:rsidRPr="00EC152F">
        <w:rPr>
          <w:rFonts w:ascii="Times New Roman" w:hAnsi="Times New Roman" w:cs="Times New Roman"/>
          <w:sz w:val="22"/>
          <w:szCs w:val="22"/>
          <w:lang w:val="ru-RU"/>
        </w:rPr>
        <w:t>Афинская Оксана Викторовна (02.04.1973 года рождения, место рождения: гор. Чугуев Харьковская обл., адрес регистрации: 141201, Московская область, г Пушкино, ул Текстильщиков, д. 6, кв 15; ИНН 503808674169, номер индивидуального лицевого счета в системе обязательного пенсионного страхования 112-334-832 11), действующая на основании Решения Арбитражного суда Московской области по делу А41-7198/2025 от 23.06.2025 г.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EC152F">
        <w:rPr>
          <w:rFonts w:ascii="Times New Roman" w:hAnsi="Times New Roman" w:cs="Times New Roman"/>
          <w:sz w:val="22"/>
          <w:szCs w:val="22"/>
          <w:lang w:val="ru-RU"/>
        </w:rPr>
        <w:t>Афинской Оксаны Викторовны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3D4197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EC152F">
        <w:rPr>
          <w:sz w:val="22"/>
          <w:szCs w:val="22"/>
        </w:rPr>
        <w:t>Афинская Оксана Викторовна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0C26F4E" w14:textId="32D316F6" w:rsidR="000A41BA" w:rsidRPr="000A41BA" w:rsidRDefault="00535D39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EC152F" w:rsidRPr="00EC152F">
        <w:rPr>
          <w:rFonts w:ascii="Times New Roman" w:hAnsi="Times New Roman" w:cs="Times New Roman"/>
          <w:b/>
          <w:bCs/>
          <w:sz w:val="22"/>
          <w:szCs w:val="22"/>
        </w:rPr>
        <w:t>общая долевая собственность, доля в праве ¼ на земельный участок, расположенный в Московская область, Пушкинский р-н, д. Луговая, участок №32, площадью 1005 +/- 11 кв. м., категория земель – земли населенных пунктов, для индивидуального жилищного строительства, кадастровый номер: 50:13:0010239:1555.</w:t>
      </w:r>
    </w:p>
    <w:p w14:paraId="036516BA" w14:textId="0C035C7C" w:rsidR="00A43104" w:rsidRPr="000A41BA" w:rsidRDefault="00A43104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41B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Д</w:t>
      </w:r>
      <w:r w:rsidRPr="000A41B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Имущество</w:t>
      </w:r>
      <w:r w:rsidRPr="000A41B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0B11041" w14:textId="77777777" w:rsidR="00EC152F" w:rsidRDefault="00EC152F" w:rsidP="00EC152F">
            <w:pPr>
              <w:pStyle w:val="TableParagraph"/>
              <w:spacing w:line="251" w:lineRule="exact"/>
            </w:pPr>
            <w:r>
              <w:t>Афинская Оксана Викторовна</w:t>
            </w:r>
          </w:p>
          <w:p w14:paraId="63C97457" w14:textId="77777777" w:rsidR="00EC152F" w:rsidRDefault="00EC152F" w:rsidP="00EC152F">
            <w:pPr>
              <w:pStyle w:val="TableParagraph"/>
              <w:spacing w:line="251" w:lineRule="exact"/>
            </w:pPr>
            <w:r>
              <w:t>СНИЛС 112-334-832 11, ИНН 503808674169</w:t>
            </w:r>
          </w:p>
          <w:p w14:paraId="50A28668" w14:textId="7D676E91" w:rsidR="00AA07D8" w:rsidRPr="00AA07D8" w:rsidRDefault="00EC152F" w:rsidP="00EC152F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152F">
              <w:rPr>
                <w:lang w:val="ru-RU"/>
              </w:rPr>
              <w:t>Расчётный счёт: 40817810050222452605</w:t>
            </w:r>
            <w:r>
              <w:rPr>
                <w:lang w:val="ru-RU"/>
              </w:rPr>
              <w:t xml:space="preserve"> </w:t>
            </w:r>
            <w:r w:rsidR="00AA07D8"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A1EBB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152F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743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2026-02-25T11:40:00Z</dcterms:modified>
</cp:coreProperties>
</file>