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Ind w:w="0" w:type="dxa"/>
        <w:tblLayout w:type="autofit"/>
        <w:tblCellMar>
          <w:left w:w="75" w:type="dxa"/>
          <w:top w:w="75" w:type="dxa"/>
          <w:right w:w="75" w:type="dxa"/>
          <w:bottom w:w="75" w:type="dxa"/>
        </w:tblCellMar>
        <w:tblLook w:val="04A0" w:firstRow="1" w:lastRow="0" w:firstColumn="1" w:lastColumn="0" w:noHBand="0" w:noVBand="1"/>
      </w:tblPr>
      <w:tblGrid>
        <w:gridCol w:w="10072"/>
      </w:tblGrid>
      <w:tr>
        <w:tblPrEx/>
        <w:trPr>
          <w:tblCellSpacing w:w="0" w:type="dxa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0072" w:type="auto"/>
            <w:vAlign w:val="center"/>
            <w:textDirection w:val="lrTb"/>
            <w:noWrap w:val="false"/>
          </w:tcPr>
          <w:p>
            <w:pPr>
              <w:pStyle w:val="65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50" w:type="pct"/>
            <w:vAlign w:val="top"/>
            <w:textDirection w:val="lrTb"/>
            <w:noWrap w:val="false"/>
          </w:tcPr>
          <w:p>
            <w:pPr>
              <w:pStyle w:val="63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Финансовый управляющий Калининой Антонины Тихоновны Газизова Наталья Андреевна </w:t>
            </w:r>
            <w:r>
              <w:rPr>
                <w:sz w:val="16"/>
                <w:szCs w:val="16"/>
              </w:rPr>
            </w:r>
          </w:p>
          <w:p>
            <w:pPr>
              <w:pStyle w:val="63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0" cy="9525"/>
                      <wp:effectExtent l="0" t="0" r="0" b="0"/>
                      <wp:docPr id="1" name="_x0000_s10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0" cy="95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A0A0A0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shape 0" o:spid="_x0000_s0" o:spt="1" type="#_x0000_t1" style="width:0.00pt;height:0.75pt;mso-wrap-distance-left:0.00pt;mso-wrap-distance-top:0.00pt;mso-wrap-distance-right:0.00pt;mso-wrap-distance-bottom:0.00pt;visibility:visible;" fillcolor="#A0A0A0" stroked="f"/>
                  </w:pict>
                </mc:Fallback>
              </mc:AlternateConten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637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 xml:space="preserve">163046, Архангельск, Воскресенская, д. 59, 2 этаж, эл. почта: gazizova.natalya@internet.ru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0072" w:type="auto"/>
            <w:vAlign w:val="center"/>
            <w:textDirection w:val="lrTb"/>
            <w:noWrap w:val="false"/>
          </w:tcPr>
          <w:p>
            <w:pPr>
              <w:pStyle w:val="6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</w:tr>
    </w:tbl>
    <w:p>
      <w:pPr>
        <w:pStyle w:val="637"/>
        <w:rPr>
          <w:vanish/>
          <w:sz w:val="20"/>
          <w:szCs w:val="20"/>
        </w:rPr>
      </w:pPr>
      <w:r>
        <w:rPr>
          <w:vanish/>
          <w:sz w:val="20"/>
          <w:szCs w:val="20"/>
        </w:rPr>
      </w:r>
      <w:r>
        <w:rPr>
          <w:vanish/>
          <w:sz w:val="20"/>
          <w:szCs w:val="20"/>
        </w:rPr>
      </w:r>
    </w:p>
    <w:tbl>
      <w:tblPr>
        <w:tblW w:w="5000" w:type="pct"/>
        <w:tblCellSpacing w:w="0" w:type="dxa"/>
        <w:tblInd w:w="0" w:type="dxa"/>
        <w:tblLayout w:type="autofit"/>
        <w:tblCellMar>
          <w:left w:w="45" w:type="dxa"/>
          <w:top w:w="45" w:type="dxa"/>
          <w:right w:w="45" w:type="dxa"/>
          <w:bottom w:w="45" w:type="dxa"/>
        </w:tblCellMar>
        <w:tblLook w:val="04A0" w:firstRow="1" w:lastRow="0" w:firstColumn="1" w:lastColumn="0" w:noHBand="0" w:noVBand="1"/>
      </w:tblPr>
      <w:tblGrid>
        <w:gridCol w:w="5006"/>
        <w:gridCol w:w="5006"/>
      </w:tblGrid>
      <w:tr>
        <w:tblPrEx/>
        <w:trPr>
          <w:tblCellSpacing w:w="0" w:type="dxa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Дата: 24 декабря 2025 г.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составления: Архангельск</w:t>
            </w:r>
            <w:r>
              <w:rPr>
                <w:sz w:val="20"/>
                <w:szCs w:val="20"/>
              </w:rPr>
            </w:r>
          </w:p>
        </w:tc>
      </w:tr>
    </w:tbl>
    <w:p>
      <w:pPr>
        <w:pStyle w:val="650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Решение об оценке имущества граждани</w:t>
      </w:r>
      <w:r>
        <w:rPr>
          <w:b/>
          <w:bCs/>
          <w:sz w:val="20"/>
          <w:szCs w:val="20"/>
        </w:rPr>
        <w:t xml:space="preserve">на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</w:r>
      <w:r>
        <w:rPr>
          <w:sz w:val="20"/>
          <w:szCs w:val="20"/>
        </w:rPr>
      </w:r>
    </w:p>
    <w:tbl>
      <w:tblPr>
        <w:tblW w:w="5000" w:type="pct"/>
        <w:tblCellSpacing w:w="0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000000" w:sz="0" w:space="0"/>
          <w:insideV w:val="none" w:color="000000" w:sz="0" w:space="0"/>
        </w:tblBorders>
        <w:tblLayout w:type="autofit"/>
        <w:tblCellMar>
          <w:left w:w="45" w:type="dxa"/>
          <w:top w:w="45" w:type="dxa"/>
          <w:right w:w="45" w:type="dxa"/>
          <w:bottom w:w="45" w:type="dxa"/>
        </w:tblCellMar>
        <w:tblLook w:val="04A0" w:firstRow="1" w:lastRow="0" w:firstColumn="1" w:lastColumn="0" w:noHBand="0" w:noVBand="1"/>
      </w:tblPr>
      <w:tblGrid>
        <w:gridCol w:w="5021"/>
        <w:gridCol w:w="5021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Наименование арбитражного суда, в производстве которого находится дело о банкротстве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Арбитражный суд Удмуртской Республики</w:t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Номер дела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А71-2919/2025 А.И. Руденко</w:t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 принятия судебного акта о введении процедуры банкротства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31.03.2025 г.</w:t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 назначения арбитражного управляющего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31.03.2025 г.</w:t>
            </w:r>
            <w:r>
              <w:rPr>
                <w:sz w:val="20"/>
                <w:szCs w:val="20"/>
              </w:rPr>
            </w:r>
          </w:p>
        </w:tc>
      </w:tr>
    </w:tbl>
    <w:p>
      <w:pPr>
        <w:pStyle w:val="650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Сведения об арбитражном управляющем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</w:r>
      <w:r>
        <w:rPr>
          <w:sz w:val="20"/>
          <w:szCs w:val="20"/>
        </w:rPr>
      </w:r>
    </w:p>
    <w:tbl>
      <w:tblPr>
        <w:tblW w:w="5000" w:type="pct"/>
        <w:tblCellSpacing w:w="0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000000" w:sz="0" w:space="0"/>
          <w:insideV w:val="none" w:color="000000" w:sz="0" w:space="0"/>
        </w:tblBorders>
        <w:tblLayout w:type="autofit"/>
        <w:tblCellMar>
          <w:left w:w="45" w:type="dxa"/>
          <w:top w:w="45" w:type="dxa"/>
          <w:right w:w="45" w:type="dxa"/>
          <w:bottom w:w="45" w:type="dxa"/>
        </w:tblCellMar>
        <w:tblLook w:val="04A0" w:firstRow="1" w:lastRow="0" w:firstColumn="1" w:lastColumn="0" w:noHBand="0" w:noVBand="1"/>
      </w:tblPr>
      <w:tblGrid>
        <w:gridCol w:w="5021"/>
        <w:gridCol w:w="5021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Наименование саморегулируемой организации арбитражных управляющих, членом которой является арбитражный управляющий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Союз "Саморегулируемая организация "Гильдия арбитражных управляющих"</w:t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Номер и дата регистрации в едином государственном реестре саморегулируемых организаций арбитражных управляющих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001-5 от 19.12.2002</w:t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Наименование страховой организации, с которой заключен договор о страховании ответственности арбитражного управляющего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</w:t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Номер договора страхования, дата его заключения и срок действия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</w:t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Адрес для направления корреспонденции арбитражному управляющему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163046, обл Архангельская, г Архангельск, ул Воскресенская, д 59, этаж 2</w:t>
            </w:r>
            <w:r>
              <w:rPr>
                <w:sz w:val="20"/>
                <w:szCs w:val="20"/>
              </w:rPr>
            </w:r>
          </w:p>
        </w:tc>
      </w:tr>
    </w:tbl>
    <w:p>
      <w:pPr>
        <w:pStyle w:val="650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Сведения о должнике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</w:r>
      <w:r>
        <w:rPr>
          <w:sz w:val="20"/>
          <w:szCs w:val="20"/>
        </w:rPr>
      </w:r>
    </w:p>
    <w:tbl>
      <w:tblPr>
        <w:tblW w:w="5000" w:type="pct"/>
        <w:tblCellSpacing w:w="0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000000" w:sz="0" w:space="0"/>
          <w:insideV w:val="none" w:color="000000" w:sz="0" w:space="0"/>
        </w:tblBorders>
        <w:tblLayout w:type="autofit"/>
        <w:tblCellMar>
          <w:left w:w="45" w:type="dxa"/>
          <w:top w:w="45" w:type="dxa"/>
          <w:right w:w="45" w:type="dxa"/>
          <w:bottom w:w="45" w:type="dxa"/>
        </w:tblCellMar>
        <w:tblLook w:val="04A0" w:firstRow="1" w:lastRow="0" w:firstColumn="1" w:lastColumn="0" w:noHBand="0" w:noVBand="1"/>
      </w:tblPr>
      <w:tblGrid>
        <w:gridCol w:w="5021"/>
        <w:gridCol w:w="5021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Ф.И.О.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Калинина Антонина Тихоновна</w:t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 рождения 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11.09.1959</w:t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рождения 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дер. Елкибаево Алнашского р-на Удмуртской АССР</w:t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ИНН 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180800433293</w:t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СНИЛС 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070-438-790 65</w:t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жительства 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регистрация по месту жительства: 427007, Удмуртская Республика, тер СПК Институтский, д. 111</w:t>
            </w:r>
            <w:r>
              <w:rPr>
                <w:sz w:val="20"/>
                <w:szCs w:val="20"/>
              </w:rPr>
            </w:r>
          </w:p>
        </w:tc>
      </w:tr>
    </w:tbl>
    <w:p>
      <w:pPr>
        <w:pStyle w:val="651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 п. 2 ст. 213.26 Федерального закона от 26.10.2002 № 127-ФЗ «О несостоятельности (банкротстве)» (далее – Закон о банкротстве) оценка имущества гражданина, которое включено в конкурсную массу в с</w:t>
      </w:r>
      <w:r>
        <w:rPr>
          <w:sz w:val="20"/>
          <w:szCs w:val="20"/>
        </w:rPr>
        <w:t xml:space="preserve">оответствии с настоящим Федеральным законом, проводится финансовым управляющим самостоятельно, о чем финансовым управляющим принимается решение в письменной форме. Проведенная оценка может быть оспорена гражданином, кредиторами, уполномоченным органом в де</w:t>
      </w:r>
      <w:r>
        <w:rPr>
          <w:sz w:val="20"/>
          <w:szCs w:val="20"/>
        </w:rPr>
        <w:t xml:space="preserve">ле о банкротстве гражданина.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51"/>
        <w:rPr>
          <w:sz w:val="20"/>
          <w:szCs w:val="20"/>
        </w:rPr>
      </w:pPr>
      <w:r>
        <w:rPr>
          <w:sz w:val="20"/>
          <w:szCs w:val="20"/>
        </w:rPr>
        <w:t xml:space="preserve">Оценка рыночной </w:t>
      </w:r>
      <w:r>
        <w:rPr>
          <w:sz w:val="20"/>
          <w:szCs w:val="20"/>
        </w:rPr>
        <w:t xml:space="preserve">стоимости имущества должника проводится в целях определения начальной цены продажи имущества в процедуре реализации имущества, для предоставления в деле о банкротстве гражданина в суд, гражданину, кредиторам, уполномоченным органам.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51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со ст. 14 Федерального закона от 29.07.1998 № 135-ФЗ «Об оценочной деятельности в Российской Федерации» оценщик имеет право применять самостоятельно методы проведения оценки объекта оценки в соответствии со стандартами оценки. Основными под</w:t>
      </w:r>
      <w:r>
        <w:rPr>
          <w:sz w:val="20"/>
          <w:szCs w:val="20"/>
        </w:rPr>
        <w:t xml:space="preserve">ходами, используемыми при проведении оценки, являются сравнительный, доходный и затратный подходы. Финансовый управляющий считает целесообразным отказаться от применения затратного и доходного подхода по причине отсутствия у финансового управляющего обосно</w:t>
      </w:r>
      <w:r>
        <w:rPr>
          <w:sz w:val="20"/>
          <w:szCs w:val="20"/>
        </w:rPr>
        <w:t xml:space="preserve">ванной и надежной информации о будущих доходах и расходах, связанных с оцениваемыми объектами, а также в связи с наличием достаточного количества объектов-аналогов на рынке для расчета сравнительным подходом. </w:t>
      </w:r>
      <w:r>
        <w:rPr>
          <w:sz w:val="20"/>
          <w:szCs w:val="20"/>
        </w:rPr>
      </w:r>
    </w:p>
    <w:p>
      <w:pPr>
        <w:pStyle w:val="651"/>
        <w:rPr>
          <w:sz w:val="20"/>
          <w:szCs w:val="20"/>
        </w:rPr>
      </w:pPr>
      <w:r>
        <w:rPr>
          <w:sz w:val="20"/>
          <w:szCs w:val="20"/>
        </w:rPr>
        <w:t xml:space="preserve">Сравнительный подход служит для оценки рыночной стоимости объекта исходя из методов оценки, основанных на получении стоимости объекта оценки путем сравнения оцениваемого объекта с объектами-аналогами которые были проданы или предложены в продажу. </w:t>
      </w:r>
      <w:r>
        <w:rPr>
          <w:sz w:val="20"/>
          <w:szCs w:val="20"/>
        </w:rPr>
      </w:r>
    </w:p>
    <w:p>
      <w:pPr>
        <w:pStyle w:val="637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51"/>
        <w:rPr>
          <w:sz w:val="20"/>
          <w:szCs w:val="20"/>
        </w:rPr>
      </w:pPr>
      <w:r>
        <w:rPr>
          <w:sz w:val="20"/>
          <w:szCs w:val="20"/>
        </w:rPr>
        <w:t xml:space="preserve">На основании п. 2 ст. 213.26 Закона о банкротстве, фи</w:t>
      </w:r>
      <w:r>
        <w:rPr>
          <w:sz w:val="20"/>
          <w:szCs w:val="20"/>
        </w:rPr>
        <w:t xml:space="preserve">нансовый управляющий принял решение о самостоятельном проведении оценки имущества, вкл</w:t>
      </w:r>
      <w:r>
        <w:rPr>
          <w:sz w:val="20"/>
          <w:szCs w:val="20"/>
        </w:rPr>
        <w:t xml:space="preserve">юченного в конкурсную массу должника, путем проведения сравнительного анализа рыночных цен на аналогичное по характеристикам имущество, с учетом технических характеристик и корректировки на текущее состояние имущества должника на момент проведения оценки.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37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51"/>
        <w:rPr>
          <w:sz w:val="20"/>
          <w:szCs w:val="20"/>
        </w:rPr>
      </w:pPr>
      <w:r>
        <w:rPr>
          <w:sz w:val="20"/>
          <w:szCs w:val="20"/>
        </w:rPr>
        <w:t xml:space="preserve">В результате проведения сравнительного анализа среднерыночной стоимости объектов, имеющих схожие характеристики с учетом корректировки на текущее состояние имуществ должника, финансовым управляющим определена следующая стоимость имущества должник</w:t>
      </w:r>
      <w:r>
        <w:rPr>
          <w:sz w:val="20"/>
          <w:szCs w:val="20"/>
        </w:rPr>
        <w:t xml:space="preserve">а по состоянию на 24 декабря 2025 г.: </w:t>
      </w:r>
      <w:r>
        <w:rPr>
          <w:sz w:val="20"/>
          <w:szCs w:val="20"/>
        </w:rPr>
      </w:r>
      <w:r>
        <w:rPr>
          <w:sz w:val="20"/>
          <w:szCs w:val="20"/>
        </w:rPr>
      </w:r>
    </w:p>
    <w:tbl>
      <w:tblPr>
        <w:tblW w:w="5000" w:type="pct"/>
        <w:tblCellSpacing w:w="0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000000" w:sz="0" w:space="0"/>
          <w:insideV w:val="none" w:color="000000" w:sz="0" w:space="0"/>
        </w:tblBorders>
        <w:tblLayout w:type="autofit"/>
        <w:tblCellMar>
          <w:left w:w="45" w:type="dxa"/>
          <w:top w:w="45" w:type="dxa"/>
          <w:right w:w="45" w:type="dxa"/>
          <w:bottom w:w="45" w:type="dxa"/>
        </w:tblCellMar>
        <w:tblLook w:val="04A0" w:firstRow="1" w:lastRow="0" w:firstColumn="1" w:lastColumn="0" w:noHBand="0" w:noVBand="1"/>
      </w:tblPr>
      <w:tblGrid>
        <w:gridCol w:w="502"/>
        <w:gridCol w:w="6025"/>
        <w:gridCol w:w="3515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" w:type="pct"/>
            <w:vAlign w:val="center"/>
            <w:textDirection w:val="lrTb"/>
            <w:noWrap w:val="false"/>
          </w:tcPr>
          <w:p>
            <w:pPr>
              <w:pStyle w:val="63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 п/п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000" w:type="pct"/>
            <w:vAlign w:val="center"/>
            <w:textDirection w:val="lrTb"/>
            <w:noWrap w:val="false"/>
          </w:tcPr>
          <w:p>
            <w:pPr>
              <w:pStyle w:val="63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Наименование, характеристика объекта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750" w:type="pct"/>
            <w:vAlign w:val="center"/>
            <w:textDirection w:val="lrTb"/>
            <w:noWrap w:val="false"/>
          </w:tcPr>
          <w:p>
            <w:pPr>
              <w:pStyle w:val="63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Рыночная стоимость,руб.</w:t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" w:type="pct"/>
            <w:vAlign w:val="center"/>
            <w:vMerge w:val="restart"/>
            <w:textDirection w:val="lrTb"/>
            <w:noWrap w:val="false"/>
          </w:tcPr>
          <w:p>
            <w:pPr>
              <w:pStyle w:val="63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000" w:type="pct"/>
            <w:vAlign w:val="center"/>
            <w:vMerge w:val="restart"/>
            <w:textDirection w:val="lrTb"/>
            <w:noWrap w:val="false"/>
          </w:tcPr>
          <w:p>
            <w:pPr>
              <w:pStyle w:val="637"/>
              <w:jc w:val="center"/>
            </w:pPr>
            <w:r>
              <w:rPr>
                <w:sz w:val="20"/>
                <w:szCs w:val="20"/>
              </w:rPr>
              <w:t xml:space="preserve">Объект №1: (Жилой дом)</w:t>
            </w:r>
            <w:r/>
          </w:p>
          <w:p>
            <w:pPr>
              <w:pStyle w:val="637"/>
              <w:jc w:val="center"/>
            </w:pPr>
            <w:r>
              <w:rPr>
                <w:sz w:val="20"/>
                <w:szCs w:val="20"/>
              </w:rPr>
              <w:t xml:space="preserve">Вид объекта: Жилой дом</w:t>
            </w:r>
            <w:r/>
          </w:p>
          <w:p>
            <w:pPr>
              <w:pStyle w:val="637"/>
              <w:jc w:val="center"/>
            </w:pPr>
            <w:r>
              <w:rPr>
                <w:sz w:val="20"/>
                <w:szCs w:val="20"/>
              </w:rPr>
              <w:t xml:space="preserve">Кадастровый номер: 18:04:142014:126</w:t>
            </w:r>
            <w:r/>
          </w:p>
          <w:p>
            <w:pPr>
              <w:pStyle w:val="637"/>
              <w:jc w:val="center"/>
            </w:pPr>
            <w:r>
              <w:rPr>
                <w:sz w:val="20"/>
                <w:szCs w:val="20"/>
              </w:rPr>
              <w:t xml:space="preserve">Назначение:Жилое</w:t>
            </w:r>
            <w:r/>
          </w:p>
          <w:p>
            <w:pPr>
              <w:pStyle w:val="637"/>
              <w:jc w:val="center"/>
            </w:pPr>
            <w:r>
              <w:rPr>
                <w:sz w:val="20"/>
                <w:szCs w:val="20"/>
              </w:rPr>
              <w:t xml:space="preserve">Местоположение: Удмуртская Респ, Воткинский р-н, д. Кварса, ул. Первомайская, 81</w:t>
            </w:r>
            <w:r/>
          </w:p>
          <w:p>
            <w:pPr>
              <w:pStyle w:val="63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Площадь: 46.1 кв. м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750" w:type="pct"/>
            <w:vAlign w:val="center"/>
            <w:vMerge w:val="restart"/>
            <w:textDirection w:val="lrTb"/>
            <w:noWrap w:val="false"/>
          </w:tcPr>
          <w:p>
            <w:pPr>
              <w:pStyle w:val="63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292c2f"/>
                <w:sz w:val="20"/>
                <w:szCs w:val="20"/>
                <w:highlight w:val="none"/>
              </w:rPr>
              <w:t xml:space="preserve">61703</w:t>
            </w:r>
            <w:r>
              <w:rPr>
                <w:rFonts w:ascii="Times New Roman" w:hAnsi="Times New Roman" w:eastAsia="Times New Roman" w:cs="Times New Roman"/>
                <w:color w:val="292c2f"/>
                <w:sz w:val="20"/>
                <w:szCs w:val="20"/>
                <w:highlight w:val="none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color w:val="292c2f"/>
                <w:sz w:val="20"/>
                <w:szCs w:val="20"/>
                <w:highlight w:val="none"/>
                <w:lang w:val="en-US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" w:type="pct"/>
            <w:vAlign w:val="center"/>
            <w:vMerge w:val="restart"/>
            <w:textDirection w:val="lrTb"/>
            <w:noWrap w:val="false"/>
          </w:tcPr>
          <w:p>
            <w:pPr>
              <w:pStyle w:val="63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000" w:type="pct"/>
            <w:vAlign w:val="center"/>
            <w:vMerge w:val="restart"/>
            <w:textDirection w:val="lrTb"/>
            <w:noWrap w:val="false"/>
          </w:tcPr>
          <w:p>
            <w:pPr>
              <w:pStyle w:val="637"/>
              <w:jc w:val="center"/>
            </w:pPr>
            <w:r>
              <w:rPr>
                <w:sz w:val="20"/>
                <w:szCs w:val="20"/>
              </w:rPr>
              <w:t xml:space="preserve">Объект №2 (Жилой дом)</w:t>
            </w:r>
            <w:r/>
          </w:p>
          <w:p>
            <w:pPr>
              <w:pStyle w:val="637"/>
              <w:jc w:val="center"/>
            </w:pPr>
            <w:r>
              <w:rPr>
                <w:sz w:val="20"/>
                <w:szCs w:val="20"/>
              </w:rPr>
              <w:t xml:space="preserve">Вид объекта: Жилой дом</w:t>
            </w:r>
            <w:r/>
          </w:p>
          <w:p>
            <w:pPr>
              <w:pStyle w:val="637"/>
              <w:jc w:val="center"/>
            </w:pPr>
            <w:r>
              <w:rPr>
                <w:sz w:val="20"/>
                <w:szCs w:val="20"/>
              </w:rPr>
              <w:t xml:space="preserve">   Кадастровый номер: 18:08:028002:1696</w:t>
            </w:r>
            <w:r/>
          </w:p>
          <w:p>
            <w:pPr>
              <w:pStyle w:val="637"/>
              <w:jc w:val="center"/>
            </w:pPr>
            <w:r>
              <w:rPr>
                <w:sz w:val="20"/>
                <w:szCs w:val="20"/>
              </w:rPr>
              <w:t xml:space="preserve">  Назначение: Жилое</w:t>
            </w:r>
            <w:r/>
          </w:p>
          <w:p>
            <w:pPr>
              <w:pStyle w:val="637"/>
              <w:jc w:val="center"/>
            </w:pPr>
            <w:r>
              <w:rPr>
                <w:sz w:val="20"/>
                <w:szCs w:val="20"/>
              </w:rPr>
              <w:t xml:space="preserve"> Местоположение: Удмуртская Респ, Завьяловский р-н, тер. СПК Институтский, зд. 111</w:t>
            </w:r>
            <w:r/>
          </w:p>
          <w:p>
            <w:pPr>
              <w:pStyle w:val="63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Площадь: 65.3 кв. м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750" w:type="pct"/>
            <w:vAlign w:val="center"/>
            <w:vMerge w:val="restart"/>
            <w:textDirection w:val="lrTb"/>
            <w:noWrap w:val="false"/>
          </w:tcPr>
          <w:p>
            <w:pPr>
              <w:pStyle w:val="63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292c2f"/>
                <w:sz w:val="20"/>
                <w:szCs w:val="20"/>
                <w:highlight w:val="none"/>
              </w:rPr>
              <w:t xml:space="preserve">479409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" w:type="pct"/>
            <w:vAlign w:val="center"/>
            <w:vMerge w:val="restart"/>
            <w:textDirection w:val="lrTb"/>
            <w:noWrap w:val="false"/>
          </w:tcPr>
          <w:p>
            <w:pPr>
              <w:pStyle w:val="63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3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000" w:type="pct"/>
            <w:vAlign w:val="center"/>
            <w:vMerge w:val="restart"/>
            <w:textDirection w:val="lrTb"/>
            <w:noWrap w:val="false"/>
          </w:tcPr>
          <w:p>
            <w:pPr>
              <w:pStyle w:val="637"/>
              <w:jc w:val="center"/>
            </w:pPr>
            <w:r>
              <w:rPr>
                <w:sz w:val="20"/>
                <w:szCs w:val="20"/>
              </w:rPr>
              <w:t xml:space="preserve"> Объект №3 (Земельный участок)</w:t>
            </w:r>
            <w:r/>
          </w:p>
          <w:p>
            <w:pPr>
              <w:pStyle w:val="637"/>
              <w:jc w:val="center"/>
            </w:pPr>
            <w:r>
              <w:rPr>
                <w:sz w:val="20"/>
                <w:szCs w:val="20"/>
              </w:rPr>
              <w:t xml:space="preserve"> Вид объекта: Земельный участок</w:t>
            </w:r>
            <w:r/>
          </w:p>
          <w:p>
            <w:pPr>
              <w:pStyle w:val="637"/>
              <w:jc w:val="center"/>
            </w:pPr>
            <w:r>
              <w:rPr>
                <w:sz w:val="20"/>
                <w:szCs w:val="20"/>
              </w:rPr>
              <w:t xml:space="preserve">Кадастровый номер: 18:04:142014:153</w:t>
            </w:r>
            <w:r/>
          </w:p>
          <w:p>
            <w:pPr>
              <w:pStyle w:val="637"/>
              <w:jc w:val="center"/>
            </w:pPr>
            <w:r>
              <w:rPr>
                <w:sz w:val="20"/>
                <w:szCs w:val="20"/>
              </w:rPr>
              <w:t xml:space="preserve">  Назначение: Для ведения личного подсобного хозяйства</w:t>
            </w:r>
            <w:r/>
          </w:p>
          <w:p>
            <w:pPr>
              <w:pStyle w:val="637"/>
              <w:jc w:val="center"/>
            </w:pPr>
            <w:r>
              <w:rPr>
                <w:sz w:val="20"/>
                <w:szCs w:val="20"/>
              </w:rPr>
              <w:t xml:space="preserve">   Местоположение: Удмуртская Республика, Воткинский р-н, д. Кварса, ул. Первомайская, 81</w:t>
            </w:r>
            <w:r/>
          </w:p>
          <w:p>
            <w:pPr>
              <w:pStyle w:val="63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Площадь: 2295 кв. м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750" w:type="pct"/>
            <w:vAlign w:val="center"/>
            <w:vMerge w:val="restart"/>
            <w:textDirection w:val="lrTb"/>
            <w:noWrap w:val="false"/>
          </w:tcPr>
          <w:p>
            <w:pPr>
              <w:pStyle w:val="637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292c2f"/>
                <w:sz w:val="20"/>
                <w:szCs w:val="20"/>
                <w:highlight w:val="none"/>
              </w:rPr>
              <w:t xml:space="preserve">459137</w:t>
            </w:r>
            <w:r>
              <w:rPr>
                <w:rFonts w:ascii="Times New Roman" w:hAnsi="Times New Roman" w:eastAsia="Times New Roman" w:cs="Times New Roman"/>
                <w:color w:val="292c2f"/>
                <w:sz w:val="20"/>
                <w:szCs w:val="20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292c2f"/>
                <w:sz w:val="20"/>
                <w:szCs w:val="20"/>
                <w:highlight w:val="none"/>
              </w:rPr>
              <w:t xml:space="preserve"> </w:t>
            </w:r>
            <w:r/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" w:type="pct"/>
            <w:vAlign w:val="center"/>
            <w:vMerge w:val="restart"/>
            <w:textDirection w:val="lrTb"/>
            <w:noWrap w:val="false"/>
          </w:tcPr>
          <w:p>
            <w:pPr>
              <w:pStyle w:val="63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ru-RU"/>
              </w:rPr>
              <w:t xml:space="preserve">4</w:t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000" w:type="pct"/>
            <w:vAlign w:val="center"/>
            <w:vMerge w:val="restart"/>
            <w:textDirection w:val="lrTb"/>
            <w:noWrap w:val="false"/>
          </w:tcPr>
          <w:p>
            <w:pPr>
              <w:pStyle w:val="637"/>
              <w:jc w:val="center"/>
            </w:pPr>
            <w:r>
              <w:rPr>
                <w:sz w:val="20"/>
                <w:szCs w:val="20"/>
              </w:rPr>
              <w:t xml:space="preserve">Объект №4 (Земельный участок)</w:t>
            </w:r>
            <w:r/>
          </w:p>
          <w:p>
            <w:pPr>
              <w:pStyle w:val="637"/>
              <w:jc w:val="center"/>
            </w:pPr>
            <w:r>
              <w:rPr>
                <w:sz w:val="20"/>
                <w:szCs w:val="20"/>
              </w:rPr>
              <w:t xml:space="preserve">   Вид объекта: Земельный участок</w:t>
            </w:r>
            <w:r/>
          </w:p>
          <w:p>
            <w:pPr>
              <w:pStyle w:val="637"/>
              <w:jc w:val="center"/>
            </w:pPr>
            <w:r>
              <w:rPr>
                <w:sz w:val="20"/>
                <w:szCs w:val="20"/>
              </w:rPr>
              <w:t xml:space="preserve">Кадастровый номер: 18:08:028002:164</w:t>
            </w:r>
            <w:r/>
          </w:p>
          <w:p>
            <w:pPr>
              <w:pStyle w:val="637"/>
              <w:jc w:val="center"/>
            </w:pPr>
            <w:r>
              <w:rPr>
                <w:sz w:val="20"/>
                <w:szCs w:val="20"/>
              </w:rPr>
              <w:t xml:space="preserve">  Назначение: Для ведения гражданами садоводства и огородничества</w:t>
            </w:r>
            <w:r/>
          </w:p>
          <w:p>
            <w:pPr>
              <w:pStyle w:val="637"/>
              <w:jc w:val="center"/>
            </w:pPr>
            <w:r>
              <w:rPr>
                <w:sz w:val="20"/>
                <w:szCs w:val="20"/>
              </w:rPr>
              <w:t xml:space="preserve">Местоположение: Удмуртская Респ, Завьяловский р-н, Институтский тер. СНТ, уч. 111</w:t>
            </w:r>
            <w:r/>
          </w:p>
          <w:p>
            <w:pPr>
              <w:pStyle w:val="63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Площадь: 444.1 кв. м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750" w:type="pct"/>
            <w:vAlign w:val="center"/>
            <w:vMerge w:val="restart"/>
            <w:textDirection w:val="lrTb"/>
            <w:noWrap w:val="false"/>
          </w:tcPr>
          <w:p>
            <w:pPr>
              <w:pStyle w:val="637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292c2f"/>
                <w:sz w:val="20"/>
                <w:szCs w:val="20"/>
                <w:highlight w:val="none"/>
              </w:rPr>
              <w:t xml:space="preserve">68076</w:t>
            </w:r>
            <w:r/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527" w:type="auto"/>
            <w:vAlign w:val="center"/>
            <w:textDirection w:val="lrTb"/>
            <w:noWrap w:val="false"/>
          </w:tcPr>
          <w:p>
            <w:pPr>
              <w:pStyle w:val="637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Итого: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515" w:type="auto"/>
            <w:vAlign w:val="center"/>
            <w:textDirection w:val="lrTb"/>
            <w:noWrap w:val="false"/>
          </w:tcPr>
          <w:p>
            <w:pPr>
              <w:pStyle w:val="63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t xml:space="preserve">1 623 659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pStyle w:val="637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51"/>
        <w:rPr>
          <w:sz w:val="20"/>
          <w:szCs w:val="20"/>
        </w:rPr>
      </w:pPr>
      <w:r>
        <w:rPr>
          <w:sz w:val="20"/>
          <w:szCs w:val="20"/>
        </w:rPr>
        <w:t xml:space="preserve">При проведении оценки рыночной стоимости имущества должника финансовый управляющий руководствовался федеральными стандартами оценки и Федеральным законом от 29.07.1998 № 135-ФЗ «Об оценочной деятельности в Российской Федерации».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37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50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650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650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650"/>
        <w:rPr>
          <w:sz w:val="20"/>
          <w:szCs w:val="20"/>
          <w:highlight w:val="none"/>
        </w:rPr>
      </w:pPr>
      <w:r>
        <w:rPr>
          <w:sz w:val="20"/>
          <w:szCs w:val="20"/>
        </w:rPr>
        <w:t xml:space="preserve">Лот 1:</w:t>
      </w:r>
      <w:r>
        <w:rPr>
          <w:sz w:val="20"/>
          <w:szCs w:val="20"/>
        </w:rPr>
      </w:r>
    </w:p>
    <w:p>
      <w:pPr>
        <w:pStyle w:val="637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Объект №1: (Жилой дом)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37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Вид объекта: Жилой дом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37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Кадастровый номер: 18:04:142014:126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37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Назначение:Жилое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37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Местоположение: Удмуртская Респ, Воткинский р-н, д. Кварса, ул. Первомайская, 81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37"/>
        <w:jc w:val="left"/>
        <w:rPr>
          <w:sz w:val="20"/>
          <w:szCs w:val="20"/>
          <w:highlight w:val="none"/>
        </w:rPr>
      </w:pPr>
      <w:r>
        <w:rPr>
          <w:sz w:val="20"/>
          <w:szCs w:val="20"/>
        </w:rPr>
        <w:t xml:space="preserve">Площадь: 46.1 кв. м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jc w:val="left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jc w:val="left"/>
        <w:rPr>
          <w:rFonts w:ascii="Times New Roman" w:hAnsi="Times New Roman" w:cs="Times New Roman"/>
          <w:sz w:val="20"/>
          <w:szCs w:val="20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</w:rPr>
        <w:t xml:space="preserve">Кадастровая стоимость данного объекта, в соответствии с выпиской равна: </w:t>
      </w:r>
      <w:r>
        <w:rPr>
          <w:rFonts w:ascii="Times New Roman" w:hAnsi="Times New Roman" w:eastAsia="Times New Roman" w:cs="Times New Roman"/>
          <w:color w:val="292c2f"/>
          <w:sz w:val="20"/>
          <w:szCs w:val="20"/>
          <w:highlight w:val="none"/>
        </w:rPr>
        <w:t xml:space="preserve">61703</w:t>
      </w:r>
      <w:r>
        <w:rPr>
          <w:rFonts w:ascii="Times New Roman" w:hAnsi="Times New Roman" w:eastAsia="Times New Roman" w:cs="Times New Roman"/>
          <w:color w:val="292c2f"/>
          <w:sz w:val="20"/>
          <w:szCs w:val="20"/>
          <w:highlight w:val="none"/>
        </w:rPr>
        <w:t xml:space="preserve">7</w:t>
      </w:r>
      <w:r>
        <w:rPr>
          <w:rFonts w:ascii="Times New Roman" w:hAnsi="Times New Roman" w:eastAsia="Times New Roman" w:cs="Times New Roman"/>
          <w:color w:val="292c2f"/>
          <w:sz w:val="20"/>
          <w:szCs w:val="20"/>
          <w:highlight w:val="none"/>
        </w:rPr>
        <w:t xml:space="preserve"> </w:t>
      </w:r>
      <w:r>
        <w:rPr>
          <w:sz w:val="20"/>
          <w:szCs w:val="20"/>
        </w:rPr>
        <w:t xml:space="preserve">руб</w:t>
      </w:r>
      <w:r/>
      <w:r>
        <w:rPr>
          <w:rFonts w:ascii="Times New Roman" w:hAnsi="Times New Roman" w:eastAsia="Times New Roman" w:cs="Times New Roman"/>
          <w:sz w:val="20"/>
          <w:szCs w:val="20"/>
          <w:highlight w:val="none"/>
        </w:rPr>
      </w:r>
      <w:r>
        <w:rPr>
          <w:rFonts w:ascii="Times New Roman" w:hAnsi="Times New Roman" w:eastAsia="Times New Roman" w:cs="Times New Roman"/>
          <w:sz w:val="20"/>
          <w:szCs w:val="20"/>
          <w:highlight w:val="none"/>
        </w:rPr>
      </w:r>
    </w:p>
    <w:p>
      <w:pPr>
        <w:pStyle w:val="650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hyperlink r:id="rId10" w:tooltip="https://lk.rosreestr.ru/eservices/real-estate-objects-online?ref=destralegal.ru" w:history="1">
        <w:r>
          <w:rPr>
            <w:rStyle w:val="174"/>
            <w:sz w:val="20"/>
            <w:szCs w:val="20"/>
            <w:highlight w:val="none"/>
          </w:rPr>
          <w:t xml:space="preserve">https://lk.rosreestr.ru/eservices/real-estate-objects-online?ref=destralegal.ru</w:t>
        </w:r>
        <w:r>
          <w:rPr>
            <w:rStyle w:val="174"/>
            <w:sz w:val="20"/>
            <w:szCs w:val="20"/>
            <w:highlight w:val="none"/>
          </w:rPr>
        </w:r>
        <w:r>
          <w:rPr>
            <w:rStyle w:val="174"/>
            <w:sz w:val="20"/>
            <w:szCs w:val="20"/>
            <w:highlight w:val="none"/>
          </w:rPr>
        </w:r>
      </w:hyperlink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650"/>
        <w:rPr>
          <w:sz w:val="20"/>
          <w:szCs w:val="20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650"/>
        <w:rPr>
          <w:sz w:val="20"/>
          <w:szCs w:val="20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650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650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650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650"/>
        <w:rPr>
          <w:sz w:val="20"/>
          <w:szCs w:val="20"/>
          <w:highlight w:val="none"/>
        </w:rPr>
      </w:pPr>
      <w:r>
        <w:rPr>
          <w:sz w:val="20"/>
          <w:szCs w:val="20"/>
        </w:rPr>
        <w:t xml:space="preserve">Лот 2: </w:t>
      </w:r>
      <w:r>
        <w:rPr>
          <w:sz w:val="20"/>
          <w:szCs w:val="20"/>
        </w:rPr>
      </w:r>
      <w:r/>
    </w:p>
    <w:p>
      <w:pPr>
        <w:pStyle w:val="637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Объект №2 (Жилой дом)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37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Вид объекта: Жилой дом</w:t>
      </w:r>
      <w:r>
        <w:rPr>
          <w:sz w:val="20"/>
          <w:szCs w:val="20"/>
        </w:rPr>
      </w:r>
    </w:p>
    <w:p>
      <w:pPr>
        <w:jc w:val="left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  <w:t xml:space="preserve">Кадастровый номер: 18:08:028002:1696</w:t>
      </w:r>
      <w:r>
        <w:rPr>
          <w:sz w:val="20"/>
          <w:szCs w:val="20"/>
        </w:rPr>
      </w:r>
      <w:r/>
    </w:p>
    <w:p>
      <w:pPr>
        <w:pStyle w:val="637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Назначение: Жилое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37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Местоположение: Удмуртская Респ, Завьяловский р-н, тер. СПК Институтский, зд. 111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37"/>
        <w:jc w:val="left"/>
        <w:rPr>
          <w:sz w:val="20"/>
          <w:szCs w:val="20"/>
          <w:highlight w:val="none"/>
        </w:rPr>
      </w:pPr>
      <w:r>
        <w:rPr>
          <w:sz w:val="20"/>
          <w:szCs w:val="20"/>
        </w:rPr>
        <w:t xml:space="preserve">Площадь: 65.3 кв. м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jc w:val="left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37"/>
        <w:jc w:val="left"/>
        <w:rPr>
          <w:rFonts w:ascii="Times New Roman" w:hAnsi="Times New Roman" w:eastAsia="Times New Roman" w:cs="Times New Roman"/>
          <w:color w:val="292c2f"/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</w:rPr>
        <w:t xml:space="preserve">Кадастровая стоимость данного объекта, в соответствии с выпиской равна:</w:t>
      </w:r>
      <w:r/>
      <w:r>
        <w:rPr>
          <w:sz w:val="20"/>
          <w:szCs w:val="20"/>
        </w:rPr>
        <w:t xml:space="preserve"> </w:t>
      </w:r>
      <w:r>
        <w:rPr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color w:val="292c2f"/>
          <w:sz w:val="20"/>
          <w:szCs w:val="20"/>
          <w:highlight w:val="none"/>
        </w:rPr>
        <w:t xml:space="preserve">479409</w:t>
      </w:r>
      <w:r>
        <w:rPr>
          <w:rFonts w:ascii="Times New Roman" w:hAnsi="Times New Roman" w:eastAsia="Times New Roman" w:cs="Times New Roman"/>
          <w:color w:val="292c2f"/>
          <w:sz w:val="20"/>
          <w:szCs w:val="20"/>
          <w:highlight w:val="none"/>
        </w:rPr>
        <w:t xml:space="preserve"> </w:t>
      </w:r>
      <w:r>
        <w:rPr>
          <w:sz w:val="20"/>
          <w:szCs w:val="20"/>
        </w:rPr>
        <w:t xml:space="preserve">руб</w:t>
      </w:r>
      <w:r/>
      <w:r>
        <w:rPr>
          <w:rFonts w:ascii="Times New Roman" w:hAnsi="Times New Roman" w:eastAsia="Times New Roman" w:cs="Times New Roman"/>
          <w:color w:val="292c2f"/>
          <w:sz w:val="20"/>
          <w:szCs w:val="20"/>
          <w:highlight w:val="none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jc w:val="left"/>
        <w:rPr>
          <w:rFonts w:ascii="Times New Roman" w:hAnsi="Times New Roman" w:eastAsia="Times New Roman" w:cs="Times New Roman"/>
          <w:color w:val="292c2f"/>
          <w:sz w:val="20"/>
          <w:szCs w:val="20"/>
          <w:highlight w:val="none"/>
        </w:rPr>
      </w:pPr>
      <w:r>
        <w:rPr>
          <w:rFonts w:ascii="Times New Roman" w:hAnsi="Times New Roman" w:eastAsia="Times New Roman" w:cs="Times New Roman"/>
          <w:color w:val="292c2f"/>
          <w:sz w:val="20"/>
          <w:szCs w:val="20"/>
          <w:highlight w:val="none"/>
        </w:rPr>
      </w:r>
      <w:r>
        <w:rPr>
          <w:rFonts w:ascii="Times New Roman" w:hAnsi="Times New Roman" w:eastAsia="Times New Roman" w:cs="Times New Roman"/>
          <w:color w:val="292c2f"/>
          <w:sz w:val="20"/>
          <w:szCs w:val="20"/>
          <w:highlight w:val="none"/>
        </w:rPr>
      </w:r>
      <w:hyperlink r:id="rId11" w:tooltip="https://lk.rosreestr.ru/eservices/real-estate-objects-online?ref=destralegal.ru" w:history="1">
        <w:r>
          <w:rPr>
            <w:rStyle w:val="174"/>
            <w:rFonts w:ascii="Times New Roman" w:hAnsi="Times New Roman" w:eastAsia="Times New Roman" w:cs="Times New Roman"/>
            <w:sz w:val="20"/>
            <w:szCs w:val="20"/>
            <w:highlight w:val="none"/>
          </w:rPr>
          <w:t xml:space="preserve">https://lk.rosreestr.ru/eservices/real-estate-objects-online?ref=destralegal.ru</w:t>
        </w:r>
        <w:r>
          <w:rPr>
            <w:rStyle w:val="174"/>
            <w:rFonts w:ascii="Times New Roman" w:hAnsi="Times New Roman" w:eastAsia="Times New Roman" w:cs="Times New Roman"/>
            <w:sz w:val="20"/>
            <w:szCs w:val="20"/>
            <w:highlight w:val="none"/>
          </w:rPr>
        </w:r>
        <w:r>
          <w:rPr>
            <w:rStyle w:val="174"/>
            <w:rFonts w:ascii="Times New Roman" w:hAnsi="Times New Roman" w:eastAsia="Times New Roman" w:cs="Times New Roman"/>
            <w:sz w:val="20"/>
            <w:szCs w:val="20"/>
            <w:highlight w:val="none"/>
          </w:rPr>
        </w:r>
      </w:hyperlink>
      <w:r>
        <w:rPr>
          <w:rFonts w:ascii="Times New Roman" w:hAnsi="Times New Roman" w:eastAsia="Times New Roman" w:cs="Times New Roman"/>
          <w:color w:val="292c2f"/>
          <w:sz w:val="20"/>
          <w:szCs w:val="20"/>
          <w:highlight w:val="none"/>
        </w:rPr>
      </w:r>
    </w:p>
    <w:p>
      <w:pPr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650"/>
        <w:rPr>
          <w:sz w:val="20"/>
          <w:szCs w:val="20"/>
          <w:highlight w:val="none"/>
        </w:rPr>
      </w:pPr>
      <w:r>
        <w:rPr>
          <w:sz w:val="20"/>
          <w:szCs w:val="20"/>
        </w:rPr>
        <w:t xml:space="preserve">Лот </w:t>
      </w:r>
      <w:r>
        <w:rPr>
          <w:sz w:val="20"/>
          <w:szCs w:val="20"/>
        </w:rPr>
        <w:t xml:space="preserve">3</w:t>
      </w:r>
      <w:r>
        <w:rPr>
          <w:sz w:val="20"/>
          <w:szCs w:val="20"/>
        </w:rPr>
        <w:t xml:space="preserve">: 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637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Объект №3 (Земельный участок)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37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Вид объекта: Земельный участок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37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Кадастровый номер: 18:04:142014:153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37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Назначение: Для ведения личного подсобного хозяйства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37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Местоположение: Удмуртская Республика, Воткинский р-н, д. Кварса, ул. Первомайская, 81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37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Площадь: 2295 кв. м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637"/>
        <w:jc w:val="left"/>
        <w:rPr>
          <w:rFonts w:ascii="Times New Roman" w:hAnsi="Times New Roman" w:eastAsia="Times New Roman" w:cs="Times New Roman"/>
          <w:color w:val="292c2f"/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</w:rPr>
        <w:t xml:space="preserve">Кадастровая стоимость данного объекта, в соответствии с выпиской равна:</w:t>
      </w:r>
      <w:r>
        <w:rPr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color w:val="292c2f"/>
          <w:sz w:val="20"/>
          <w:szCs w:val="20"/>
          <w:highlight w:val="none"/>
        </w:rPr>
        <w:t xml:space="preserve">459137</w:t>
      </w:r>
      <w:r>
        <w:rPr>
          <w:rFonts w:ascii="Times New Roman" w:hAnsi="Times New Roman" w:eastAsia="Times New Roman" w:cs="Times New Roman"/>
          <w:color w:val="292c2f"/>
          <w:sz w:val="20"/>
          <w:szCs w:val="20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292c2f"/>
          <w:sz w:val="20"/>
          <w:szCs w:val="20"/>
          <w:highlight w:val="none"/>
        </w:rPr>
        <w:t xml:space="preserve"> </w:t>
      </w:r>
      <w:r>
        <w:rPr>
          <w:sz w:val="20"/>
          <w:szCs w:val="20"/>
        </w:rPr>
        <w:t xml:space="preserve">руб</w:t>
      </w:r>
      <w:r>
        <w:rPr>
          <w:rFonts w:ascii="Times New Roman" w:hAnsi="Times New Roman" w:eastAsia="Times New Roman" w:cs="Times New Roman"/>
          <w:color w:val="292c2f"/>
          <w:sz w:val="20"/>
          <w:szCs w:val="20"/>
          <w:highlight w:val="none"/>
        </w:rPr>
      </w:r>
      <w:r>
        <w:rPr>
          <w:rFonts w:ascii="Times New Roman" w:hAnsi="Times New Roman" w:eastAsia="Times New Roman" w:cs="Times New Roman"/>
          <w:color w:val="292c2f"/>
          <w:sz w:val="20"/>
          <w:szCs w:val="20"/>
          <w:highlight w:val="none"/>
        </w:rPr>
      </w:r>
    </w:p>
    <w:p>
      <w:pPr>
        <w:jc w:val="left"/>
        <w:rPr>
          <w:rFonts w:ascii="Times New Roman" w:hAnsi="Times New Roman" w:eastAsia="Times New Roman" w:cs="Times New Roman"/>
          <w:color w:val="292c2f"/>
          <w:sz w:val="20"/>
          <w:szCs w:val="20"/>
          <w:highlight w:val="none"/>
        </w:rPr>
      </w:pPr>
      <w:r>
        <w:rPr>
          <w:rFonts w:ascii="Times New Roman" w:hAnsi="Times New Roman" w:eastAsia="Times New Roman" w:cs="Times New Roman"/>
          <w:color w:val="292c2f"/>
          <w:sz w:val="20"/>
          <w:szCs w:val="20"/>
          <w:highlight w:val="none"/>
        </w:rPr>
      </w:r>
      <w:r>
        <w:rPr>
          <w:rFonts w:ascii="Times New Roman" w:hAnsi="Times New Roman" w:eastAsia="Times New Roman" w:cs="Times New Roman"/>
          <w:color w:val="292c2f"/>
          <w:sz w:val="20"/>
          <w:szCs w:val="20"/>
          <w:highlight w:val="none"/>
        </w:rPr>
      </w:r>
    </w:p>
    <w:p>
      <w:pPr>
        <w:jc w:val="left"/>
        <w:rPr>
          <w:rFonts w:ascii="Times New Roman" w:hAnsi="Times New Roman" w:eastAsia="Times New Roman" w:cs="Times New Roman"/>
          <w:color w:val="292c2f"/>
          <w:sz w:val="20"/>
          <w:szCs w:val="20"/>
          <w:highlight w:val="none"/>
        </w:rPr>
      </w:pPr>
      <w:r>
        <w:rPr>
          <w:rFonts w:ascii="Times New Roman" w:hAnsi="Times New Roman" w:eastAsia="Times New Roman" w:cs="Times New Roman"/>
          <w:color w:val="292c2f"/>
          <w:sz w:val="20"/>
          <w:szCs w:val="20"/>
          <w:highlight w:val="none"/>
        </w:rPr>
      </w:r>
      <w:r>
        <w:rPr>
          <w:rFonts w:ascii="Times New Roman" w:hAnsi="Times New Roman" w:eastAsia="Times New Roman" w:cs="Times New Roman"/>
          <w:color w:val="292c2f"/>
          <w:sz w:val="20"/>
          <w:szCs w:val="20"/>
          <w:highlight w:val="none"/>
        </w:rPr>
      </w:r>
      <w:hyperlink r:id="rId12" w:tooltip="https://lk.rosreestr.ru/eservices/real-estate-objects-online?ref=destralegal.ru" w:history="1">
        <w:r>
          <w:rPr>
            <w:rStyle w:val="174"/>
            <w:rFonts w:ascii="Times New Roman" w:hAnsi="Times New Roman" w:eastAsia="Times New Roman" w:cs="Times New Roman"/>
            <w:sz w:val="20"/>
            <w:szCs w:val="20"/>
            <w:highlight w:val="none"/>
          </w:rPr>
          <w:t xml:space="preserve">https://lk.rosreestr.ru/eservices/real-estate-objects-online?ref=destralegal.ru</w:t>
        </w:r>
        <w:r>
          <w:rPr>
            <w:rStyle w:val="174"/>
            <w:rFonts w:ascii="Times New Roman" w:hAnsi="Times New Roman" w:eastAsia="Times New Roman" w:cs="Times New Roman"/>
            <w:sz w:val="20"/>
            <w:szCs w:val="20"/>
            <w:highlight w:val="none"/>
          </w:rPr>
        </w:r>
        <w:r>
          <w:rPr>
            <w:rStyle w:val="174"/>
            <w:rFonts w:ascii="Times New Roman" w:hAnsi="Times New Roman" w:eastAsia="Times New Roman" w:cs="Times New Roman"/>
            <w:sz w:val="20"/>
            <w:szCs w:val="20"/>
            <w:highlight w:val="none"/>
          </w:rPr>
        </w:r>
      </w:hyperlink>
      <w:r>
        <w:rPr>
          <w:rFonts w:ascii="Times New Roman" w:hAnsi="Times New Roman" w:eastAsia="Times New Roman" w:cs="Times New Roman"/>
          <w:color w:val="292c2f"/>
          <w:sz w:val="20"/>
          <w:szCs w:val="20"/>
          <w:highlight w:val="none"/>
        </w:rPr>
      </w:r>
    </w:p>
    <w:p>
      <w:pPr>
        <w:jc w:val="left"/>
        <w:rPr>
          <w:rFonts w:ascii="Times New Roman" w:hAnsi="Times New Roman" w:eastAsia="Times New Roman" w:cs="Times New Roman"/>
          <w:color w:val="292c2f"/>
          <w:sz w:val="20"/>
          <w:szCs w:val="20"/>
          <w:highlight w:val="none"/>
        </w:rPr>
      </w:pPr>
      <w:r>
        <w:rPr>
          <w:rFonts w:ascii="Times New Roman" w:hAnsi="Times New Roman" w:eastAsia="Times New Roman" w:cs="Times New Roman"/>
          <w:color w:val="292c2f"/>
          <w:sz w:val="20"/>
          <w:szCs w:val="20"/>
          <w:highlight w:val="none"/>
        </w:rPr>
      </w:r>
      <w:r>
        <w:rPr>
          <w:rFonts w:ascii="Times New Roman" w:hAnsi="Times New Roman" w:eastAsia="Times New Roman" w:cs="Times New Roman"/>
          <w:color w:val="292c2f"/>
          <w:sz w:val="20"/>
          <w:szCs w:val="20"/>
          <w:highlight w:val="none"/>
        </w:rPr>
      </w:r>
    </w:p>
    <w:p>
      <w:pPr>
        <w:jc w:val="left"/>
        <w:rPr>
          <w:rFonts w:ascii="Times New Roman" w:hAnsi="Times New Roman" w:eastAsia="Times New Roman" w:cs="Times New Roman"/>
          <w:color w:val="292c2f"/>
          <w:sz w:val="20"/>
          <w:szCs w:val="20"/>
          <w:highlight w:val="none"/>
        </w:rPr>
      </w:pPr>
      <w:r>
        <w:rPr>
          <w:rFonts w:ascii="Times New Roman" w:hAnsi="Times New Roman" w:eastAsia="Times New Roman" w:cs="Times New Roman"/>
          <w:color w:val="292c2f"/>
          <w:sz w:val="20"/>
          <w:szCs w:val="20"/>
          <w:highlight w:val="none"/>
        </w:rPr>
      </w:r>
      <w:r>
        <w:rPr>
          <w:rFonts w:ascii="Times New Roman" w:hAnsi="Times New Roman" w:eastAsia="Times New Roman" w:cs="Times New Roman"/>
          <w:color w:val="292c2f"/>
          <w:sz w:val="20"/>
          <w:szCs w:val="20"/>
          <w:highlight w:val="none"/>
        </w:rPr>
      </w:r>
    </w:p>
    <w:p>
      <w:pPr>
        <w:jc w:val="left"/>
        <w:rPr>
          <w:rFonts w:ascii="Times New Roman" w:hAnsi="Times New Roman" w:eastAsia="Times New Roman" w:cs="Times New Roman"/>
          <w:color w:val="292c2f"/>
          <w:sz w:val="20"/>
          <w:szCs w:val="20"/>
          <w:highlight w:val="none"/>
        </w:rPr>
      </w:pPr>
      <w:r>
        <w:rPr>
          <w:rFonts w:ascii="Times New Roman" w:hAnsi="Times New Roman" w:eastAsia="Times New Roman" w:cs="Times New Roman"/>
          <w:color w:val="292c2f"/>
          <w:sz w:val="20"/>
          <w:szCs w:val="20"/>
          <w:highlight w:val="none"/>
        </w:rPr>
      </w:r>
      <w:r>
        <w:rPr>
          <w:rFonts w:ascii="Times New Roman" w:hAnsi="Times New Roman" w:eastAsia="Times New Roman" w:cs="Times New Roman"/>
          <w:color w:val="292c2f"/>
          <w:sz w:val="20"/>
          <w:szCs w:val="20"/>
          <w:highlight w:val="none"/>
        </w:rPr>
      </w:r>
    </w:p>
    <w:p>
      <w:pPr>
        <w:jc w:val="left"/>
        <w:rPr>
          <w:rFonts w:ascii="Times New Roman" w:hAnsi="Times New Roman" w:eastAsia="Times New Roman" w:cs="Times New Roman"/>
          <w:color w:val="292c2f"/>
          <w:sz w:val="20"/>
          <w:szCs w:val="20"/>
          <w:highlight w:val="none"/>
        </w:rPr>
      </w:pPr>
      <w:r>
        <w:rPr>
          <w:rFonts w:ascii="Times New Roman" w:hAnsi="Times New Roman" w:eastAsia="Times New Roman" w:cs="Times New Roman"/>
          <w:color w:val="292c2f"/>
          <w:sz w:val="20"/>
          <w:szCs w:val="20"/>
          <w:highlight w:val="none"/>
        </w:rPr>
      </w:r>
      <w:r>
        <w:rPr>
          <w:sz w:val="20"/>
          <w:szCs w:val="20"/>
        </w:rPr>
        <w:t xml:space="preserve">Лот 4</w:t>
      </w:r>
      <w:r>
        <w:rPr>
          <w:sz w:val="20"/>
          <w:szCs w:val="20"/>
        </w:rPr>
        <w:t xml:space="preserve">: </w:t>
      </w:r>
      <w:r>
        <w:rPr>
          <w:rFonts w:ascii="Times New Roman" w:hAnsi="Times New Roman" w:eastAsia="Times New Roman" w:cs="Times New Roman"/>
          <w:color w:val="292c2f"/>
          <w:sz w:val="20"/>
          <w:szCs w:val="20"/>
          <w:highlight w:val="none"/>
        </w:rPr>
      </w:r>
      <w:r>
        <w:rPr>
          <w:rFonts w:ascii="Times New Roman" w:hAnsi="Times New Roman" w:eastAsia="Times New Roman" w:cs="Times New Roman"/>
          <w:color w:val="292c2f"/>
          <w:sz w:val="20"/>
          <w:szCs w:val="20"/>
          <w:highlight w:val="none"/>
        </w:rPr>
      </w:r>
    </w:p>
    <w:p>
      <w:pPr>
        <w:pStyle w:val="637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Объект №4 (Земельный участок)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37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Вид объекта: Земельный участок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37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Кадастровый номер: 18:08:028002:164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37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Назначение: Для ведения гражданами садоводства и огородничества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37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Местоположение: Удмуртская Респ, Завьяловский р-н, Институтский тер. СНТ, уч. 111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37"/>
        <w:jc w:val="left"/>
        <w:rPr>
          <w:sz w:val="20"/>
          <w:szCs w:val="20"/>
          <w:highlight w:val="none"/>
        </w:rPr>
      </w:pPr>
      <w:r>
        <w:rPr>
          <w:sz w:val="20"/>
          <w:szCs w:val="20"/>
        </w:rPr>
        <w:t xml:space="preserve">Площадь: 444.1 кв. м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jc w:val="left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jc w:val="left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  <w:t xml:space="preserve">Кадастровая стоимость данного объекта, в соответствии с выпиской равна:</w:t>
      </w:r>
      <w:r>
        <w:rPr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color w:val="292c2f"/>
          <w:sz w:val="20"/>
          <w:szCs w:val="20"/>
          <w:highlight w:val="none"/>
        </w:rPr>
        <w:t xml:space="preserve">68076</w:t>
      </w:r>
      <w:r>
        <w:rPr>
          <w:rFonts w:ascii="Times New Roman" w:hAnsi="Times New Roman" w:eastAsia="Times New Roman" w:cs="Times New Roman"/>
          <w:color w:val="292c2f"/>
          <w:sz w:val="20"/>
          <w:szCs w:val="20"/>
          <w:highlight w:val="none"/>
        </w:rPr>
        <w:t xml:space="preserve"> </w:t>
      </w:r>
      <w:r>
        <w:rPr>
          <w:sz w:val="20"/>
          <w:szCs w:val="20"/>
        </w:rPr>
        <w:t xml:space="preserve">руб</w:t>
      </w:r>
      <w:r/>
      <w:r>
        <w:rPr>
          <w:rFonts w:ascii="Times New Roman" w:hAnsi="Times New Roman" w:eastAsia="Times New Roman" w:cs="Times New Roman"/>
          <w:color w:val="292c2f"/>
          <w:sz w:val="20"/>
          <w:szCs w:val="20"/>
          <w:highlight w:val="none"/>
        </w:rPr>
      </w:r>
      <w:r>
        <w:rPr>
          <w:sz w:val="20"/>
          <w:szCs w:val="20"/>
        </w:rPr>
      </w:r>
    </w:p>
    <w:p>
      <w:pPr>
        <w:jc w:val="left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hyperlink r:id="rId13" w:tooltip="https://lk.rosreestr.ru/eservices/real-estate-objects-online?ref=destralegal.ru" w:history="1">
        <w:r>
          <w:rPr>
            <w:rStyle w:val="174"/>
            <w:sz w:val="20"/>
            <w:szCs w:val="20"/>
            <w:highlight w:val="none"/>
          </w:rPr>
          <w:t xml:space="preserve">https://lk.rosreestr.ru/eservices/real-estate-objects-online?ref=destralegal.ru</w:t>
        </w:r>
        <w:r>
          <w:rPr>
            <w:rStyle w:val="174"/>
            <w:sz w:val="20"/>
            <w:szCs w:val="20"/>
            <w:highlight w:val="none"/>
          </w:rPr>
        </w:r>
        <w:r>
          <w:rPr>
            <w:rStyle w:val="174"/>
            <w:sz w:val="20"/>
            <w:szCs w:val="20"/>
            <w:highlight w:val="none"/>
          </w:rPr>
        </w:r>
      </w:hyperlink>
      <w:r>
        <w:rPr>
          <w:sz w:val="20"/>
          <w:szCs w:val="20"/>
          <w:highlight w:val="none"/>
        </w:rPr>
      </w:r>
    </w:p>
    <w:p>
      <w:pPr>
        <w:jc w:val="left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jc w:val="left"/>
        <w:rPr>
          <w:sz w:val="20"/>
          <w:szCs w:val="20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jc w:val="left"/>
        <w:rPr>
          <w:rFonts w:ascii="Times New Roman" w:hAnsi="Times New Roman" w:eastAsia="Times New Roman" w:cs="Times New Roman"/>
          <w:color w:val="292c2f"/>
          <w:sz w:val="20"/>
          <w:szCs w:val="20"/>
          <w:highlight w:val="none"/>
        </w:rPr>
      </w:pPr>
      <w:r>
        <w:rPr>
          <w:rFonts w:ascii="Times New Roman" w:hAnsi="Times New Roman" w:eastAsia="Times New Roman" w:cs="Times New Roman"/>
          <w:color w:val="292c2f"/>
          <w:sz w:val="20"/>
          <w:szCs w:val="20"/>
          <w:highlight w:val="none"/>
        </w:rPr>
      </w:r>
      <w:r>
        <w:rPr>
          <w:rFonts w:ascii="Times New Roman" w:hAnsi="Times New Roman" w:eastAsia="Times New Roman" w:cs="Times New Roman"/>
          <w:color w:val="292c2f"/>
          <w:sz w:val="20"/>
          <w:szCs w:val="20"/>
          <w:highlight w:val="none"/>
        </w:rPr>
      </w:r>
    </w:p>
    <w:p>
      <w:pPr>
        <w:jc w:val="left"/>
        <w:rPr>
          <w:rFonts w:ascii="Times New Roman" w:hAnsi="Times New Roman" w:eastAsia="Times New Roman" w:cs="Times New Roman"/>
          <w:color w:val="292c2f"/>
          <w:sz w:val="20"/>
          <w:szCs w:val="20"/>
          <w:highlight w:val="none"/>
        </w:rPr>
      </w:pPr>
      <w:r>
        <w:rPr>
          <w:rFonts w:ascii="Times New Roman" w:hAnsi="Times New Roman" w:eastAsia="Times New Roman" w:cs="Times New Roman"/>
          <w:color w:val="292c2f"/>
          <w:sz w:val="20"/>
          <w:szCs w:val="20"/>
          <w:highlight w:val="none"/>
        </w:rPr>
      </w:r>
      <w:r>
        <w:rPr>
          <w:rFonts w:ascii="Times New Roman" w:hAnsi="Times New Roman" w:eastAsia="Times New Roman" w:cs="Times New Roman"/>
          <w:color w:val="292c2f"/>
          <w:sz w:val="20"/>
          <w:szCs w:val="20"/>
          <w:highlight w:val="none"/>
        </w:rPr>
      </w:r>
    </w:p>
    <w:p>
      <w:pPr>
        <w:jc w:val="left"/>
        <w:rPr>
          <w:rFonts w:ascii="Times New Roman" w:hAnsi="Times New Roman" w:eastAsia="Times New Roman" w:cs="Times New Roman"/>
          <w:color w:val="292c2f"/>
          <w:sz w:val="20"/>
          <w:szCs w:val="20"/>
          <w:highlight w:val="none"/>
        </w:rPr>
      </w:pPr>
      <w:r>
        <w:rPr>
          <w:rFonts w:ascii="Times New Roman" w:hAnsi="Times New Roman" w:eastAsia="Times New Roman" w:cs="Times New Roman"/>
          <w:color w:val="292c2f"/>
          <w:sz w:val="20"/>
          <w:szCs w:val="20"/>
          <w:highlight w:val="none"/>
        </w:rPr>
      </w:r>
      <w:r>
        <w:rPr>
          <w:rFonts w:ascii="Times New Roman" w:hAnsi="Times New Roman" w:eastAsia="Times New Roman" w:cs="Times New Roman"/>
          <w:color w:val="292c2f"/>
          <w:sz w:val="20"/>
          <w:szCs w:val="20"/>
          <w:highlight w:val="none"/>
        </w:rPr>
      </w:r>
    </w:p>
    <w:p>
      <w:pPr>
        <w:jc w:val="left"/>
        <w:rPr>
          <w:rFonts w:ascii="Times New Roman" w:hAnsi="Times New Roman" w:eastAsia="Times New Roman" w:cs="Times New Roman"/>
          <w:color w:val="292c2f"/>
          <w:sz w:val="20"/>
          <w:szCs w:val="20"/>
          <w:highlight w:val="none"/>
        </w:rPr>
      </w:pPr>
      <w:r>
        <w:rPr>
          <w:rFonts w:ascii="Times New Roman" w:hAnsi="Times New Roman" w:eastAsia="Times New Roman" w:cs="Times New Roman"/>
          <w:color w:val="292c2f"/>
          <w:sz w:val="20"/>
          <w:szCs w:val="20"/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300470" cy="8400627"/>
                <wp:effectExtent l="0" t="0" r="0" b="0"/>
                <wp:docPr id="2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72501153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6300469" cy="840062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96.10pt;height:661.47pt;mso-wrap-distance-left:0.00pt;mso-wrap-distance-top:0.00pt;mso-wrap-distance-right:0.00pt;mso-wrap-distance-bottom:0.00pt;" stroked="false">
                <v:path textboxrect="0,0,0,0"/>
                <v:imagedata r:id="rId14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color w:val="292c2f"/>
          <w:sz w:val="20"/>
          <w:szCs w:val="20"/>
          <w:highlight w:val="none"/>
        </w:rPr>
      </w:r>
      <w:r>
        <w:rPr>
          <w:rFonts w:ascii="Times New Roman" w:hAnsi="Times New Roman" w:eastAsia="Times New Roman" w:cs="Times New Roman"/>
          <w:color w:val="292c2f"/>
          <w:sz w:val="20"/>
          <w:szCs w:val="20"/>
          <w:highlight w:val="none"/>
        </w:rPr>
      </w:r>
    </w:p>
    <w:p>
      <w:pPr>
        <w:jc w:val="left"/>
        <w:rPr>
          <w:rFonts w:ascii="Times New Roman" w:hAnsi="Times New Roman" w:eastAsia="Times New Roman" w:cs="Times New Roman"/>
          <w:color w:val="292c2f"/>
          <w:sz w:val="20"/>
          <w:szCs w:val="20"/>
          <w:highlight w:val="none"/>
        </w:rPr>
      </w:pPr>
      <w:r>
        <w:rPr>
          <w:rFonts w:ascii="Times New Roman" w:hAnsi="Times New Roman" w:eastAsia="Times New Roman" w:cs="Times New Roman"/>
          <w:color w:val="292c2f"/>
          <w:sz w:val="20"/>
          <w:szCs w:val="20"/>
          <w:highlight w:val="none"/>
        </w:rPr>
      </w:r>
      <w:r>
        <w:rPr>
          <w:rFonts w:ascii="Times New Roman" w:hAnsi="Times New Roman" w:eastAsia="Times New Roman" w:cs="Times New Roman"/>
          <w:color w:val="292c2f"/>
          <w:sz w:val="20"/>
          <w:szCs w:val="20"/>
          <w:highlight w:val="none"/>
        </w:rPr>
      </w:r>
    </w:p>
    <w:p>
      <w:pPr>
        <w:jc w:val="left"/>
        <w:rPr>
          <w:rFonts w:ascii="Times New Roman" w:hAnsi="Times New Roman" w:eastAsia="Times New Roman" w:cs="Times New Roman"/>
          <w:color w:val="292c2f"/>
          <w:sz w:val="20"/>
          <w:szCs w:val="20"/>
          <w:highlight w:val="none"/>
        </w:rPr>
      </w:pPr>
      <w:r>
        <w:rPr>
          <w:rFonts w:ascii="Times New Roman" w:hAnsi="Times New Roman" w:eastAsia="Times New Roman" w:cs="Times New Roman"/>
          <w:color w:val="292c2f"/>
          <w:sz w:val="20"/>
          <w:szCs w:val="20"/>
          <w:highlight w:val="none"/>
        </w:rPr>
      </w:r>
      <w:r>
        <w:rPr>
          <w:rFonts w:ascii="Times New Roman" w:hAnsi="Times New Roman" w:eastAsia="Times New Roman" w:cs="Times New Roman"/>
          <w:color w:val="292c2f"/>
          <w:sz w:val="20"/>
          <w:szCs w:val="20"/>
          <w:highlight w:val="none"/>
        </w:rPr>
      </w:r>
    </w:p>
    <w:p>
      <w:pPr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color w:val="292c2f"/>
          <w:sz w:val="20"/>
          <w:szCs w:val="20"/>
          <w:highlight w:val="none"/>
        </w:rPr>
      </w:r>
      <w:r>
        <w:rPr>
          <w:rFonts w:ascii="Times New Roman" w:hAnsi="Times New Roman" w:eastAsia="Times New Roman" w:cs="Times New Roman"/>
          <w:color w:val="292c2f"/>
          <w:sz w:val="20"/>
          <w:szCs w:val="20"/>
          <w:highlight w:val="none"/>
        </w:rPr>
      </w:r>
    </w:p>
    <w:p>
      <w:pPr>
        <w:jc w:val="left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  <w:highlight w:val="none"/>
        </w:rPr>
      </w:r>
      <w:r/>
    </w:p>
    <w:p>
      <w:pPr>
        <w:pStyle w:val="650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421810" cy="9612630"/>
                <wp:effectExtent l="0" t="0" r="0" b="0"/>
                <wp:docPr id="3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69953793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4421809" cy="96126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348.17pt;height:756.90pt;mso-wrap-distance-left:0.00pt;mso-wrap-distance-top:0.00pt;mso-wrap-distance-right:0.00pt;mso-wrap-distance-bottom:0.00pt;" stroked="false">
                <v:path textboxrect="0,0,0,0"/>
                <v:imagedata r:id="rId15" o:title=""/>
              </v:shape>
            </w:pict>
          </mc:Fallback>
        </mc:AlternateConten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650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300470" cy="8400627"/>
                <wp:effectExtent l="0" t="0" r="0" b="0"/>
                <wp:docPr id="4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79823186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6300469" cy="840062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496.10pt;height:661.47pt;mso-wrap-distance-left:0.00pt;mso-wrap-distance-top:0.00pt;mso-wrap-distance-right:0.00pt;mso-wrap-distance-bottom:0.00pt;" stroked="false">
                <v:path textboxrect="0,0,0,0"/>
                <v:imagedata r:id="rId16" o:title=""/>
              </v:shape>
            </w:pict>
          </mc:Fallback>
        </mc:AlternateConten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650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650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650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650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650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300470" cy="8400627"/>
                <wp:effectExtent l="0" t="0" r="0" b="0"/>
                <wp:docPr id="5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1150364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7"/>
                        <a:stretch/>
                      </pic:blipFill>
                      <pic:spPr bwMode="auto">
                        <a:xfrm>
                          <a:off x="0" y="0"/>
                          <a:ext cx="6300469" cy="840062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width:496.10pt;height:661.47pt;mso-wrap-distance-left:0.00pt;mso-wrap-distance-top:0.00pt;mso-wrap-distance-right:0.00pt;mso-wrap-distance-bottom:0.00pt;" stroked="false">
                <v:path textboxrect="0,0,0,0"/>
                <v:imagedata r:id="rId17" o:title=""/>
              </v:shape>
            </w:pict>
          </mc:Fallback>
        </mc:AlternateConten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650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650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650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421810" cy="9612630"/>
                <wp:effectExtent l="0" t="0" r="0" b="0"/>
                <wp:docPr id="6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5818512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8"/>
                        <a:stretch/>
                      </pic:blipFill>
                      <pic:spPr bwMode="auto">
                        <a:xfrm>
                          <a:off x="0" y="0"/>
                          <a:ext cx="4421809" cy="96126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width:348.17pt;height:756.90pt;mso-wrap-distance-left:0.00pt;mso-wrap-distance-top:0.00pt;mso-wrap-distance-right:0.00pt;mso-wrap-distance-bottom:0.00pt;" stroked="false">
                <v:path textboxrect="0,0,0,0"/>
                <v:imagedata r:id="rId18" o:title=""/>
              </v:shape>
            </w:pict>
          </mc:Fallback>
        </mc:AlternateConten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650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300470" cy="8400627"/>
                <wp:effectExtent l="0" t="0" r="0" b="0"/>
                <wp:docPr id="7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09922559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9"/>
                        <a:stretch/>
                      </pic:blipFill>
                      <pic:spPr bwMode="auto">
                        <a:xfrm>
                          <a:off x="0" y="0"/>
                          <a:ext cx="6300469" cy="840062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width:496.10pt;height:661.47pt;mso-wrap-distance-left:0.00pt;mso-wrap-distance-top:0.00pt;mso-wrap-distance-right:0.00pt;mso-wrap-distance-bottom:0.00pt;" stroked="false">
                <v:path textboxrect="0,0,0,0"/>
                <v:imagedata r:id="rId19" o:title=""/>
              </v:shape>
            </w:pict>
          </mc:Fallback>
        </mc:AlternateConten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650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tbl>
      <w:tblPr>
        <w:tblW w:w="5000" w:type="pct"/>
        <w:tblCellSpacing w:w="0" w:type="dxa"/>
        <w:tblInd w:w="0" w:type="dxa"/>
        <w:tblLayout w:type="autofit"/>
        <w:tblCellMar>
          <w:left w:w="45" w:type="dxa"/>
          <w:top w:w="45" w:type="dxa"/>
          <w:right w:w="45" w:type="dxa"/>
          <w:bottom w:w="45" w:type="dxa"/>
        </w:tblCellMar>
        <w:tblLook w:val="04A0" w:firstRow="1" w:lastRow="0" w:firstColumn="1" w:lastColumn="0" w:noHBand="0" w:noVBand="1"/>
      </w:tblPr>
      <w:tblGrid>
        <w:gridCol w:w="4602"/>
        <w:gridCol w:w="2762"/>
        <w:gridCol w:w="2648"/>
      </w:tblGrid>
      <w:tr>
        <w:tblPrEx/>
        <w:trPr>
          <w:tblCellSpacing w:w="0" w:type="dxa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250" w:type="dxa"/>
            <w:vAlign w:val="top"/>
            <w:textDirection w:val="lrTb"/>
            <w:noWrap w:val="false"/>
          </w:tcPr>
          <w:p>
            <w:pPr>
              <w:pStyle w:val="65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Финансовый управляющий</w:t>
              <w:br w:type="textWrapping" w:clear="all"/>
              <w:t xml:space="preserve">Калининой Антонины Тихоновны</w:t>
            </w: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300" w:type="dxa"/>
            <w:vAlign w:val="center"/>
            <w:textDirection w:val="lrTb"/>
            <w:noWrap w:val="false"/>
          </w:tcPr>
          <w:p>
            <w:pPr>
              <w:pStyle w:val="65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000" w:type="dxa"/>
            <w:vAlign w:val="top"/>
            <w:textDirection w:val="lrTb"/>
            <w:noWrap w:val="false"/>
          </w:tcPr>
          <w:p>
            <w:pPr>
              <w:pStyle w:val="650"/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Н.А. Газизова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r/>
    </w:p>
    <w:sectPr>
      <w:footerReference w:type="default" r:id="rId9"/>
      <w:footnotePr/>
      <w:endnotePr/>
      <w:type w:val="nextPage"/>
      <w:pgSz w:w="11907" w:h="16840" w:orient="portrait"/>
      <w:pgMar w:top="851" w:right="851" w:bottom="851" w:left="1134" w:header="0" w:footer="567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Calibri Light">
    <w:panose1 w:val="020F03020202040302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50"/>
      <w:jc w:val="right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 xml:space="preserve"> </w:t>
    </w:r>
    <w:r>
      <w:rPr>
        <w:sz w:val="20"/>
        <w:szCs w:val="20"/>
      </w:rPr>
    </w:r>
  </w:p>
  <w:p>
    <w:pPr>
      <w:pStyle w:val="637"/>
      <w:rPr>
        <w:sz w:val="20"/>
        <w:szCs w:val="20"/>
      </w:rPr>
    </w:pPr>
    <w:r>
      <w:rPr>
        <w:sz w:val="20"/>
        <w:szCs w:val="20"/>
      </w:rPr>
      <w:fldChar w:fldCharType="end"/>
    </w:r>
    <w:r>
      <w:rPr>
        <w:sz w:val="20"/>
        <w:szCs w:val="20"/>
      </w:rPr>
    </w:r>
    <w:r>
      <w:rPr>
        <w:sz w:val="20"/>
        <w:szCs w:val="20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37"/>
    <w:next w:val="63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37"/>
    <w:next w:val="63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37"/>
    <w:next w:val="63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37"/>
    <w:next w:val="63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37"/>
    <w:next w:val="63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37"/>
    <w:next w:val="63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37"/>
    <w:next w:val="63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37"/>
    <w:next w:val="63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37"/>
    <w:next w:val="63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37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37"/>
    <w:next w:val="63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637"/>
    <w:next w:val="63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637"/>
    <w:next w:val="63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37"/>
    <w:next w:val="63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3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637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637"/>
    <w:next w:val="637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11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3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63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637"/>
    <w:next w:val="63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37"/>
    <w:next w:val="63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37"/>
    <w:next w:val="63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37"/>
    <w:next w:val="63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37"/>
    <w:next w:val="63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37"/>
    <w:next w:val="63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37"/>
    <w:next w:val="63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37"/>
    <w:next w:val="63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37"/>
    <w:next w:val="63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37"/>
    <w:next w:val="637"/>
    <w:uiPriority w:val="99"/>
    <w:unhideWhenUsed/>
    <w:pPr>
      <w:spacing w:after="0" w:afterAutospacing="0"/>
    </w:pPr>
  </w:style>
  <w:style w:type="paragraph" w:styleId="637" w:default="1">
    <w:name w:val="Normal"/>
    <w:next w:val="637"/>
    <w:link w:val="637"/>
    <w:qFormat/>
    <w:rPr>
      <w:sz w:val="24"/>
      <w:szCs w:val="24"/>
      <w:lang w:val="ru-RU" w:eastAsia="ru-RU" w:bidi="ar-SA"/>
    </w:rPr>
  </w:style>
  <w:style w:type="paragraph" w:styleId="638">
    <w:name w:val="Заголовок 1"/>
    <w:basedOn w:val="637"/>
    <w:next w:val="638"/>
    <w:link w:val="645"/>
    <w:uiPriority w:val="9"/>
    <w:qFormat/>
    <w:pPr>
      <w:spacing w:before="100" w:beforeAutospacing="1" w:after="100" w:afterAutospacing="1"/>
      <w:outlineLvl w:val="0"/>
    </w:pPr>
    <w:rPr>
      <w:sz w:val="53"/>
      <w:szCs w:val="53"/>
    </w:rPr>
  </w:style>
  <w:style w:type="paragraph" w:styleId="639">
    <w:name w:val="Заголовок 2"/>
    <w:basedOn w:val="637"/>
    <w:next w:val="639"/>
    <w:link w:val="646"/>
    <w:uiPriority w:val="9"/>
    <w:qFormat/>
    <w:pPr>
      <w:spacing w:before="100" w:beforeAutospacing="1" w:after="100" w:afterAutospacing="1"/>
      <w:outlineLvl w:val="1"/>
    </w:pPr>
    <w:rPr>
      <w:sz w:val="43"/>
      <w:szCs w:val="43"/>
    </w:rPr>
  </w:style>
  <w:style w:type="paragraph" w:styleId="640">
    <w:name w:val="Заголовок 3"/>
    <w:basedOn w:val="637"/>
    <w:next w:val="640"/>
    <w:link w:val="647"/>
    <w:uiPriority w:val="9"/>
    <w:qFormat/>
    <w:pPr>
      <w:spacing w:before="100" w:beforeAutospacing="1" w:after="100" w:afterAutospacing="1"/>
      <w:outlineLvl w:val="2"/>
    </w:pPr>
    <w:rPr>
      <w:sz w:val="38"/>
      <w:szCs w:val="38"/>
    </w:rPr>
  </w:style>
  <w:style w:type="paragraph" w:styleId="641">
    <w:name w:val="Заголовок 4"/>
    <w:basedOn w:val="637"/>
    <w:next w:val="641"/>
    <w:link w:val="648"/>
    <w:uiPriority w:val="9"/>
    <w:qFormat/>
    <w:pPr>
      <w:spacing w:before="100" w:beforeAutospacing="1" w:after="100" w:afterAutospacing="1"/>
      <w:outlineLvl w:val="3"/>
    </w:pPr>
    <w:rPr>
      <w:b/>
      <w:bCs/>
      <w:sz w:val="29"/>
      <w:szCs w:val="29"/>
    </w:rPr>
  </w:style>
  <w:style w:type="character" w:styleId="642">
    <w:name w:val="Основной шрифт абзаца"/>
    <w:next w:val="642"/>
    <w:link w:val="637"/>
    <w:uiPriority w:val="1"/>
    <w:semiHidden/>
    <w:unhideWhenUsed/>
  </w:style>
  <w:style w:type="table" w:styleId="643">
    <w:name w:val="Обычная таблица"/>
    <w:next w:val="643"/>
    <w:link w:val="637"/>
    <w:uiPriority w:val="99"/>
    <w:semiHidden/>
    <w:unhideWhenUsed/>
    <w:tblPr/>
  </w:style>
  <w:style w:type="numbering" w:styleId="644">
    <w:name w:val="Нет списка"/>
    <w:next w:val="644"/>
    <w:link w:val="637"/>
    <w:uiPriority w:val="99"/>
    <w:semiHidden/>
    <w:unhideWhenUsed/>
  </w:style>
  <w:style w:type="character" w:styleId="645">
    <w:name w:val="Заголовок 1 Знак"/>
    <w:next w:val="645"/>
    <w:link w:val="638"/>
    <w:uiPriority w:val="9"/>
    <w:rPr>
      <w:rFonts w:ascii="Calibri Light" w:hAnsi="Calibri Light" w:eastAsia="Times New Roman" w:cs="Times New Roman"/>
      <w:color w:val="2f5496"/>
      <w:sz w:val="40"/>
      <w:szCs w:val="40"/>
    </w:rPr>
  </w:style>
  <w:style w:type="character" w:styleId="646">
    <w:name w:val="Заголовок 2 Знак"/>
    <w:next w:val="646"/>
    <w:link w:val="639"/>
    <w:uiPriority w:val="9"/>
    <w:semiHidden/>
    <w:rPr>
      <w:rFonts w:ascii="Calibri Light" w:hAnsi="Calibri Light" w:eastAsia="Times New Roman" w:cs="Times New Roman"/>
      <w:color w:val="2f5496"/>
      <w:sz w:val="32"/>
      <w:szCs w:val="32"/>
    </w:rPr>
  </w:style>
  <w:style w:type="character" w:styleId="647">
    <w:name w:val="Заголовок 3 Знак"/>
    <w:next w:val="647"/>
    <w:link w:val="640"/>
    <w:uiPriority w:val="9"/>
    <w:semiHidden/>
    <w:rPr>
      <w:rFonts w:ascii="Calibri" w:hAnsi="Calibri" w:eastAsia="Times New Roman" w:cs="Times New Roman"/>
      <w:color w:val="2f5496"/>
      <w:sz w:val="28"/>
      <w:szCs w:val="28"/>
    </w:rPr>
  </w:style>
  <w:style w:type="character" w:styleId="648">
    <w:name w:val="Заголовок 4 Знак"/>
    <w:next w:val="648"/>
    <w:link w:val="641"/>
    <w:uiPriority w:val="9"/>
    <w:semiHidden/>
    <w:rPr>
      <w:rFonts w:ascii="Calibri" w:hAnsi="Calibri" w:eastAsia="Times New Roman" w:cs="Times New Roman"/>
      <w:i/>
      <w:iCs/>
      <w:color w:val="2f5496"/>
      <w:sz w:val="24"/>
      <w:szCs w:val="24"/>
    </w:rPr>
  </w:style>
  <w:style w:type="paragraph" w:styleId="649">
    <w:name w:val="msonormal"/>
    <w:basedOn w:val="637"/>
    <w:next w:val="649"/>
    <w:link w:val="637"/>
    <w:pPr>
      <w:spacing w:before="120" w:after="120"/>
    </w:pPr>
  </w:style>
  <w:style w:type="paragraph" w:styleId="650">
    <w:name w:val="Обычный (Интернет)"/>
    <w:basedOn w:val="637"/>
    <w:next w:val="650"/>
    <w:link w:val="637"/>
    <w:uiPriority w:val="99"/>
    <w:unhideWhenUsed/>
    <w:pPr>
      <w:spacing w:before="120" w:after="120"/>
    </w:pPr>
  </w:style>
  <w:style w:type="paragraph" w:styleId="651">
    <w:name w:val="indent"/>
    <w:basedOn w:val="637"/>
    <w:next w:val="651"/>
    <w:link w:val="637"/>
    <w:pPr>
      <w:ind w:firstLine="708"/>
      <w:jc w:val="both"/>
      <w:spacing w:before="120" w:after="120"/>
    </w:pPr>
  </w:style>
  <w:style w:type="paragraph" w:styleId="652">
    <w:name w:val="indnomrg"/>
    <w:basedOn w:val="637"/>
    <w:next w:val="652"/>
    <w:link w:val="637"/>
    <w:pPr>
      <w:ind w:firstLine="708"/>
      <w:jc w:val="both"/>
    </w:pPr>
  </w:style>
  <w:style w:type="paragraph" w:styleId="653">
    <w:name w:val="nomrg"/>
    <w:basedOn w:val="637"/>
    <w:next w:val="653"/>
    <w:link w:val="637"/>
    <w:pPr>
      <w:jc w:val="both"/>
    </w:pPr>
  </w:style>
  <w:style w:type="paragraph" w:styleId="654">
    <w:name w:val="zagolovok6"/>
    <w:next w:val="654"/>
    <w:link w:val="637"/>
    <w:qFormat/>
    <w:rPr>
      <w:sz w:val="24"/>
      <w:szCs w:val="24"/>
      <w:lang w:val="ru-RU" w:eastAsia="ru-RU" w:bidi="ar-SA"/>
    </w:rPr>
  </w:style>
  <w:style w:type="paragraph" w:styleId="655">
    <w:name w:val="Нижний колонтитул"/>
    <w:basedOn w:val="637"/>
    <w:next w:val="655"/>
    <w:link w:val="656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656">
    <w:name w:val="Нижний колонтитул Знак"/>
    <w:next w:val="656"/>
    <w:link w:val="655"/>
    <w:uiPriority w:val="99"/>
    <w:rPr>
      <w:rFonts w:eastAsia="Times New Roman"/>
      <w:sz w:val="24"/>
      <w:szCs w:val="24"/>
    </w:rPr>
  </w:style>
  <w:style w:type="character" w:styleId="1248" w:default="1">
    <w:name w:val="Default Paragraph Font"/>
    <w:uiPriority w:val="1"/>
    <w:semiHidden/>
    <w:unhideWhenUsed/>
  </w:style>
  <w:style w:type="numbering" w:styleId="1249" w:default="1">
    <w:name w:val="No List"/>
    <w:uiPriority w:val="99"/>
    <w:semiHidden/>
    <w:unhideWhenUsed/>
  </w:style>
  <w:style w:type="table" w:styleId="1250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hyperlink" Target="https://lk.rosreestr.ru/eservices/real-estate-objects-online?ref=destralegal.ru" TargetMode="External"/><Relationship Id="rId11" Type="http://schemas.openxmlformats.org/officeDocument/2006/relationships/hyperlink" Target="https://lk.rosreestr.ru/eservices/real-estate-objects-online?ref=destralegal.ru" TargetMode="External"/><Relationship Id="rId12" Type="http://schemas.openxmlformats.org/officeDocument/2006/relationships/hyperlink" Target="https://lk.rosreestr.ru/eservices/real-estate-objects-online?ref=destralegal.ru" TargetMode="External"/><Relationship Id="rId13" Type="http://schemas.openxmlformats.org/officeDocument/2006/relationships/hyperlink" Target="https://lk.rosreestr.ru/eservices/real-estate-objects-online?ref=destralegal.ru" TargetMode="External"/><Relationship Id="rId14" Type="http://schemas.openxmlformats.org/officeDocument/2006/relationships/image" Target="media/image1.jpg"/><Relationship Id="rId15" Type="http://schemas.openxmlformats.org/officeDocument/2006/relationships/image" Target="media/image2.jpg"/><Relationship Id="rId16" Type="http://schemas.openxmlformats.org/officeDocument/2006/relationships/image" Target="media/image3.jpg"/><Relationship Id="rId17" Type="http://schemas.openxmlformats.org/officeDocument/2006/relationships/image" Target="media/image4.jpg"/><Relationship Id="rId18" Type="http://schemas.openxmlformats.org/officeDocument/2006/relationships/image" Target="media/image5.jpg"/><Relationship Id="rId19" Type="http://schemas.openxmlformats.org/officeDocument/2006/relationships/image" Target="media/image6.jp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об оценке имущества гражданина</dc:title>
  <dc:creator>Admin</dc:creator>
  <cp:lastModifiedBy>alesh</cp:lastModifiedBy>
  <cp:revision>3</cp:revision>
  <dcterms:created xsi:type="dcterms:W3CDTF">2025-12-24T12:51:00Z</dcterms:created>
  <dcterms:modified xsi:type="dcterms:W3CDTF">2025-12-24T14:56:03Z</dcterms:modified>
  <cp:version>1048576</cp:version>
</cp:coreProperties>
</file>