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6095"/>
      </w:tblGrid>
      <w:tr>
        <w:tblPrEx/>
        <w:trPr>
          <w:trHeight w:val="112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95" w:type="dxa"/>
            <w:vAlign w:val="top"/>
            <w:textDirection w:val="lrTb"/>
            <w:noWrap w:val="false"/>
          </w:tcPr>
          <w:p>
            <w:pPr>
              <w:pStyle w:val="617"/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Арбитражный суд Удмуртской Республики</w:t>
            </w:r>
            <w:r>
              <w:rPr>
                <w:i/>
                <w:sz w:val="24"/>
                <w:szCs w:val="24"/>
              </w:rPr>
            </w:r>
            <w:r>
              <w:rPr>
                <w:i/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финансового управляющего </w:t>
            </w:r>
            <w:r>
              <w:rPr>
                <w:sz w:val="24"/>
                <w:szCs w:val="24"/>
              </w:rPr>
              <w:t xml:space="preserve">Калининой Антонины Тихоновны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Газизовой Натальи Андреевны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61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Положение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621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порядке, об условиях и о сроках реализации</w:t>
      </w:r>
      <w:r>
        <w:rPr>
          <w:b/>
          <w:sz w:val="24"/>
          <w:szCs w:val="24"/>
        </w:rPr>
        <w:t xml:space="preserve"> имущества </w:t>
      </w:r>
      <w:r>
        <w:rPr>
          <w:b/>
          <w:sz w:val="24"/>
          <w:szCs w:val="24"/>
        </w:rPr>
        <w:t xml:space="preserve">Калининой Антонины Тихоновны</w:t>
      </w:r>
      <w:r>
        <w:rPr>
          <w:b/>
          <w:sz w:val="24"/>
          <w:szCs w:val="24"/>
          <w:lang w:val="en-US"/>
        </w:rPr>
      </w:r>
      <w:r>
        <w:rPr>
          <w:b/>
          <w:sz w:val="24"/>
          <w:szCs w:val="24"/>
          <w:lang w:val="en-US"/>
        </w:rPr>
      </w:r>
    </w:p>
    <w:p>
      <w:pPr>
        <w:pStyle w:val="62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дата рождения: </w:t>
      </w:r>
      <w:r>
        <w:rPr>
          <w:sz w:val="24"/>
          <w:szCs w:val="24"/>
        </w:rPr>
        <w:t xml:space="preserve">11.09.1959</w:t>
      </w:r>
      <w:r>
        <w:rPr>
          <w:sz w:val="24"/>
          <w:szCs w:val="24"/>
        </w:rPr>
        <w:t xml:space="preserve">, место рождения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дер. Елкибаево Алнашского р-на Удмуртской АССР</w:t>
      </w:r>
      <w:r>
        <w:rPr>
          <w:sz w:val="24"/>
          <w:szCs w:val="24"/>
        </w:rPr>
        <w:t xml:space="preserve">, СНИЛС: </w:t>
      </w:r>
      <w:r>
        <w:rPr>
          <w:sz w:val="24"/>
          <w:szCs w:val="24"/>
        </w:rPr>
        <w:t xml:space="preserve">070-438-790 65</w:t>
      </w:r>
      <w:r>
        <w:rPr>
          <w:sz w:val="24"/>
          <w:szCs w:val="24"/>
        </w:rPr>
        <w:t xml:space="preserve">, ИНН </w:t>
      </w:r>
      <w:r>
        <w:rPr>
          <w:sz w:val="24"/>
          <w:szCs w:val="24"/>
        </w:rPr>
        <w:t xml:space="preserve">180800433293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регистрация по месту жительства: 427007, Удмуртская Республика, тер СПК Институтский, д. 111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W w:w="0" w:type="auto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Сведения об имуществе и порядке ознакомления с ним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tbl>
            <w:tblPr>
              <w:tblW w:w="6833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left w:w="108" w:type="dxa"/>
                <w:top w:w="0" w:type="dxa"/>
                <w:right w:w="108" w:type="dxa"/>
                <w:bottom w:w="0" w:type="dxa"/>
              </w:tblCellMar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№ лота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Оп</w:t>
                  </w:r>
                  <w:r>
                    <w:t xml:space="preserve">исание, характеристика имущества</w:t>
                  </w:r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Количество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Начальная цена, руб.</w:t>
                  </w:r>
                  <w:r/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</w:tblPrEx>
              <w:trPr/>
              <w:tc>
                <w:tcPr>
                  <w:tcW w:w="603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3474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Объект №1: (Жилой дом)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Вид объекта: Жилой дом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Кадастровый номер: 18:04:142014:126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Назначение:Жилое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Местоположение: Удмуртская Респ, Воткинский р-н, д. Кварса, ул. Первомайская, 81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  <w:t xml:space="preserve">Площадь: 46.1 кв. м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617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/>
                  <w:r>
                    <w:rPr>
                      <w:rFonts w:ascii="Times New Roman" w:hAnsi="Times New Roman" w:eastAsia="Times New Roman" w:cs="Times New Roman"/>
                      <w:color w:val="292c2f"/>
                      <w:sz w:val="20"/>
                      <w:szCs w:val="20"/>
                      <w:highlight w:val="none"/>
                    </w:rPr>
                    <w:t xml:space="preserve">61703</w:t>
                  </w:r>
                  <w:r>
                    <w:rPr>
                      <w:rFonts w:ascii="Times New Roman" w:hAnsi="Times New Roman" w:eastAsia="Times New Roman" w:cs="Times New Roman"/>
                      <w:color w:val="292c2f"/>
                      <w:sz w:val="20"/>
                      <w:szCs w:val="20"/>
                      <w:highlight w:val="none"/>
                    </w:rPr>
                    <w:t xml:space="preserve">7</w:t>
                  </w:r>
                  <w:r/>
                  <w:r/>
                  <w:r/>
                </w:p>
              </w:tc>
            </w:tr>
            <w:tr>
              <w:tblPrEx/>
              <w:trPr/>
              <w:tc>
                <w:tcPr>
                  <w:tcW w:w="603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2</w:t>
                  </w:r>
                  <w:r/>
                </w:p>
              </w:tc>
              <w:tc>
                <w:tcPr>
                  <w:tcW w:w="3474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Объект №2 (Жилой дом)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Вид объекта: Жилой дом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  <w:t xml:space="preserve">Кадастровый номер: 18:08:028002:1696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Назначение: Жилое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Местоположение: Удмуртская Респ, Завьяловский р-н, тер. СПК Институтский, зд. 111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  <w:t xml:space="preserve">Площадь: 65.3 кв. м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617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/>
                  <w:r>
                    <w:rPr>
                      <w:rFonts w:ascii="Times New Roman" w:hAnsi="Times New Roman" w:eastAsia="Times New Roman" w:cs="Times New Roman"/>
                      <w:color w:val="292c2f"/>
                      <w:sz w:val="20"/>
                      <w:szCs w:val="20"/>
                      <w:highlight w:val="none"/>
                    </w:rPr>
                    <w:t xml:space="preserve">479409</w:t>
                  </w:r>
                  <w:r/>
                  <w:r/>
                  <w:r/>
                </w:p>
              </w:tc>
            </w:tr>
            <w:tr>
              <w:tblPrEx/>
              <w:trPr/>
              <w:tc>
                <w:tcPr>
                  <w:tcW w:w="603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3</w:t>
                  </w:r>
                  <w:r/>
                </w:p>
              </w:tc>
              <w:tc>
                <w:tcPr>
                  <w:tcW w:w="3474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Объект №3 (Земельный участок)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Вид объекта: Земельный участок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Кадастровый номер: 18:04:142014:153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Назначение: Для ведения личного подсобного хозяйства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Местоположение: Удмуртская Республика, Воткинский р-н, д. Кварса, ул. Первомайская, 81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Площадь: 2295 кв. м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/>
                  <w:r>
                    <w:rPr>
                      <w:sz w:val="20"/>
                      <w:szCs w:val="20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292c2f"/>
                      <w:sz w:val="20"/>
                      <w:szCs w:val="20"/>
                      <w:highlight w:val="none"/>
                    </w:rPr>
                    <w:t xml:space="preserve">459137</w:t>
                  </w:r>
                  <w:r/>
                  <w:r/>
                  <w:r/>
                </w:p>
              </w:tc>
            </w:tr>
            <w:tr>
              <w:tblPrEx/>
              <w:trPr/>
              <w:tc>
                <w:tcPr>
                  <w:tcW w:w="603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4</w:t>
                  </w:r>
                  <w:r/>
                </w:p>
              </w:tc>
              <w:tc>
                <w:tcPr>
                  <w:tcW w:w="3474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Объект №4 (Земельный участок)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Вид объекта: Земельный участок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Кадастровый номер: 18:08:028002:164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Назначение: Для ведения гражданами садоводства и огородничества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Местоположение: Удмуртская Респ, Завьяловский р-н, Институтский тер. СНТ, уч. 111</w:t>
                  </w:r>
                  <w:r>
                    <w:rPr>
                      <w:sz w:val="20"/>
                      <w:szCs w:val="20"/>
                    </w:rPr>
                  </w: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pStyle w:val="617"/>
                    <w:jc w:val="left"/>
                    <w:rPr>
                      <w:sz w:val="20"/>
                      <w:szCs w:val="20"/>
                      <w:highlight w:val="none"/>
                    </w:rPr>
                  </w:pPr>
                  <w:r>
                    <w:rPr>
                      <w:sz w:val="20"/>
                      <w:szCs w:val="20"/>
                    </w:rPr>
                    <w:t xml:space="preserve">Площадь: 444.1 кв. м</w:t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  <w:r>
                    <w:rPr>
                      <w:sz w:val="20"/>
                      <w:szCs w:val="20"/>
                      <w:highlight w:val="none"/>
                    </w:rPr>
                  </w:r>
                </w:p>
                <w:p>
                  <w:pPr>
                    <w:pStyle w:val="617"/>
                    <w:jc w:val="center"/>
                  </w:pPr>
                  <w:r/>
                  <w:r/>
                </w:p>
              </w:tc>
              <w:tc>
                <w:tcPr>
                  <w:tcW w:w="1217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>
                    <w:t xml:space="preserve">1</w:t>
                  </w:r>
                  <w:r/>
                </w:p>
              </w:tc>
              <w:tc>
                <w:tcPr>
                  <w:tcW w:w="1539" w:type="dxa"/>
                  <w:vAlign w:val="top"/>
                  <w:vMerge w:val="restart"/>
                  <w:textDirection w:val="lrTb"/>
                  <w:noWrap w:val="false"/>
                </w:tcPr>
                <w:p>
                  <w:pPr>
                    <w:pStyle w:val="617"/>
                    <w:jc w:val="center"/>
                  </w:pPr>
                  <w:r/>
                  <w:r>
                    <w:rPr>
                      <w:rFonts w:ascii="Times New Roman" w:hAnsi="Times New Roman" w:eastAsia="Times New Roman" w:cs="Times New Roman"/>
                      <w:color w:val="292c2f"/>
                      <w:sz w:val="20"/>
                      <w:szCs w:val="20"/>
                      <w:highlight w:val="none"/>
                    </w:rPr>
                    <w:t xml:space="preserve">68076</w:t>
                  </w:r>
                  <w:r/>
                  <w:r/>
                  <w:r/>
                </w:p>
              </w:tc>
            </w:tr>
          </w:tbl>
          <w:p>
            <w:pPr>
              <w:pStyle w:val="617"/>
              <w:jc w:val="left"/>
              <w:rPr>
                <w:sz w:val="20"/>
                <w:szCs w:val="20"/>
              </w:rPr>
            </w:pPr>
            <w:r>
              <w:t xml:space="preserve">Ознакомление с имуществом производится по адресу: </w:t>
            </w:r>
            <w:r/>
            <w:r>
              <w:rPr>
                <w:sz w:val="20"/>
                <w:szCs w:val="20"/>
              </w:rPr>
              <w:t xml:space="preserve">Удмуртская Респ, Воткинский р-н, д. Кварса, ул. Первомайская, 81</w:t>
            </w:r>
            <w:r/>
            <w:r>
              <w:rPr>
                <w:sz w:val="20"/>
                <w:szCs w:val="20"/>
              </w:rPr>
            </w:r>
          </w:p>
          <w:p>
            <w:pPr>
              <w:pStyle w:val="617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 xml:space="preserve">Площадь: 46.1 кв. м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r>
              <w:t xml:space="preserve"> , с момента публикации сообщения о продаже имущества и до окончания приема заявок по предварительной записи по телефону:</w:t>
            </w:r>
            <w:r>
              <w:t xml:space="preserve"> </w:t>
            </w:r>
            <w:r>
              <w:t xml:space="preserve"> </w:t>
            </w:r>
            <w:r>
              <w:t xml:space="preserve">89600</w:t>
            </w:r>
            <w:r>
              <w:t xml:space="preserve">091050</w:t>
            </w:r>
            <w:r/>
            <w:r/>
            <w:r>
              <w:t xml:space="preserve">.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Сроки 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Организовать продажу имущества в течение 15 дней со дня утверждения судом настоящего Положения.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Организатор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Финансовый управляющий </w:t>
            </w:r>
            <w:r>
              <w:t xml:space="preserve">Калининой Антонины Тихоновны</w:t>
            </w:r>
            <w:r>
              <w:t xml:space="preserve"> </w:t>
            </w:r>
            <w:r>
              <w:t xml:space="preserve">Газизова Наталья Андреевна</w:t>
            </w:r>
            <w:r>
              <w:t xml:space="preserve">, </w:t>
            </w:r>
            <w:r>
              <w:t xml:space="preserve">действующий на основании решения Арбитражного суда Удмур</w:t>
            </w:r>
            <w:r>
              <w:t xml:space="preserve">тской Республики от 31.03.2025 г. по делу № А71-2919/2025 А.И. Руденко</w:t>
            </w:r>
            <w:r/>
          </w:p>
          <w:p>
            <w:pPr>
              <w:pStyle w:val="617"/>
            </w:pPr>
            <w:r>
              <w:t xml:space="preserve">Организатор торгов выполняет следующие функции:</w:t>
            </w:r>
            <w:r/>
          </w:p>
          <w:p>
            <w:pPr>
              <w:pStyle w:val="617"/>
            </w:pPr>
            <w:r>
              <w:t xml:space="preserve">- опубликовывает и размещает сообщение о продаже имущества и сообщение о результатах проведения торгов;</w:t>
            </w:r>
            <w:r/>
          </w:p>
          <w:p>
            <w:pPr>
              <w:pStyle w:val="617"/>
            </w:pPr>
            <w:r>
              <w:t xml:space="preserve">- опр</w:t>
            </w:r>
            <w:r>
              <w:t xml:space="preserve">еделяет участников торгов;</w:t>
            </w:r>
            <w:r/>
          </w:p>
          <w:p>
            <w:pPr>
              <w:pStyle w:val="617"/>
            </w:pPr>
            <w:r>
              <w:t xml:space="preserve">- определяет победителя торгов и подписывает протокол о результатах проведения торгов;</w:t>
            </w:r>
            <w:r/>
          </w:p>
          <w:p>
            <w:pPr>
              <w:pStyle w:val="617"/>
              <w:rPr>
                <w:lang w:val="en-US"/>
              </w:rPr>
            </w:pPr>
            <w:r>
              <w:t xml:space="preserve">- уведомляет заявителей и участников торгов о результатах проведения торгов.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7"/>
            </w:pPr>
            <w:r>
              <w:t xml:space="preserve">Сведения об организаторе торгов:</w:t>
            </w:r>
            <w:r/>
          </w:p>
          <w:p>
            <w:pPr>
              <w:pStyle w:val="617"/>
            </w:pPr>
            <w:r>
              <w:t xml:space="preserve">- почтовый адрес:</w:t>
            </w:r>
            <w:r>
              <w:t xml:space="preserve"> </w:t>
            </w:r>
            <w:r>
              <w:t xml:space="preserve">163046, обл Архангельская, г</w:t>
            </w:r>
            <w:r>
              <w:t xml:space="preserve"> Архангельск, ул Воскресенская, д 59, этаж 2</w:t>
            </w:r>
            <w:r/>
          </w:p>
          <w:p>
            <w:pPr>
              <w:pStyle w:val="617"/>
            </w:pPr>
            <w:r>
              <w:t xml:space="preserve">- адрес электронной почты:</w:t>
            </w:r>
            <w:r>
              <w:t xml:space="preserve"> </w:t>
            </w:r>
            <w:r>
              <w:t xml:space="preserve">gazizova.natalya@internet.ru</w:t>
            </w:r>
            <w:r/>
          </w:p>
          <w:p>
            <w:pPr>
              <w:pStyle w:val="617"/>
            </w:pPr>
            <w:r>
              <w:t xml:space="preserve">- контактный номер: </w:t>
            </w:r>
            <w:r>
              <w:t xml:space="preserve">89600</w:t>
            </w:r>
            <w:r>
              <w:t xml:space="preserve">091050</w:t>
            </w:r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Форма торгов и форма представления предложений о цене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Продажа имущества должника осуществляется путе</w:t>
            </w:r>
            <w:r>
              <w:t xml:space="preserve">м проведения открытых торгов в форме аукциона с </w:t>
            </w:r>
            <w:r>
              <w:t xml:space="preserve">открытой формой представления предложений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5.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Место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Торги проводятся в электронной форме на электронной площадке «Новые информационные сервисы», размещенной на сайте https://nistp.ru/ в сети Интернет.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69"/>
        </w:trPr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6.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Размер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:highlight w:val="none"/>
              </w:rPr>
            </w:pPr>
            <w:r>
              <w:t xml:space="preserve">Лот № 1: </w:t>
            </w:r>
            <w:r>
              <w:t xml:space="preserve">10 %</w:t>
            </w:r>
            <w:r/>
            <w:r/>
          </w:p>
          <w:p>
            <w:pPr>
              <w:pStyle w:val="617"/>
            </w:pPr>
            <w:r>
              <w:t xml:space="preserve">Лот № 2: </w:t>
            </w:r>
            <w:r>
              <w:t xml:space="preserve">10 %</w:t>
            </w:r>
            <w:r/>
            <w:r/>
          </w:p>
          <w:p>
            <w:pPr>
              <w:pStyle w:val="617"/>
            </w:pPr>
            <w:r>
              <w:t xml:space="preserve">Лот № 3: </w:t>
            </w:r>
            <w:r>
              <w:t xml:space="preserve">10 %</w:t>
            </w:r>
            <w:r/>
            <w:r/>
          </w:p>
          <w:p>
            <w:pPr>
              <w:pStyle w:val="617"/>
            </w:pPr>
            <w:r>
              <w:t xml:space="preserve">Лот № 4: </w:t>
            </w:r>
            <w:r>
              <w:t xml:space="preserve">10 %</w:t>
            </w:r>
            <w:r/>
            <w:r/>
            <w:r/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7.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 и порядок внесения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:lang w:val="en-US"/>
              </w:rPr>
            </w:pPr>
            <w:r>
              <w:t xml:space="preserve">1. Срок внесения задатка - </w:t>
            </w:r>
            <w:r>
              <w:rPr>
                <w:lang w:val="en-US"/>
              </w:rPr>
              <w:t xml:space="preserve">не позднее даты ок</w:t>
            </w:r>
            <w:r>
              <w:rPr>
                <w:lang w:val="en-US"/>
              </w:rPr>
              <w:t xml:space="preserve">ончания срока приема заявок</w:t>
            </w:r>
            <w:r>
              <w:t xml:space="preserve"> </w:t>
            </w:r>
            <w:r>
              <w:t xml:space="preserve">на участие в торгах</w:t>
            </w:r>
            <w:r>
              <w:rPr>
                <w:lang w:val="en-US"/>
              </w:rPr>
              <w:t xml:space="preserve">. 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  <w:p>
            <w:pPr>
              <w:pStyle w:val="617"/>
            </w:pPr>
            <w:r>
              <w:t xml:space="preserve">2. Внесение задатка </w:t>
            </w:r>
            <w:r>
              <w:t xml:space="preserve">осуществляется </w:t>
            </w:r>
            <w:r>
              <w:t xml:space="preserve">по следующим реквизитам: </w:t>
            </w:r>
            <w:r/>
            <w:r/>
          </w:p>
          <w:p>
            <w:pPr>
              <w:pStyle w:val="617"/>
            </w:pPr>
            <w:r>
              <w:t xml:space="preserve">Валюта получаемого перевода: Российский рубль (RUB)</w:t>
            </w:r>
            <w:r/>
            <w:r/>
          </w:p>
          <w:p>
            <w:pPr>
              <w:pStyle w:val="617"/>
            </w:pPr>
            <w:r>
              <w:t xml:space="preserve">Получатель: </w:t>
            </w:r>
            <w:r>
              <w:t xml:space="preserve">КАЛИНИНА АНТОНИНА ТИХОНОВНА</w:t>
            </w:r>
            <w:r/>
            <w:r/>
          </w:p>
          <w:p>
            <w:pPr>
              <w:pStyle w:val="617"/>
            </w:pPr>
            <w:r>
              <w:t xml:space="preserve">Номер счёта: </w:t>
            </w:r>
            <w:r>
              <w:t xml:space="preserve">40817810004002066211</w:t>
            </w:r>
            <w:r/>
            <w:r/>
          </w:p>
          <w:p>
            <w:pPr>
              <w:pStyle w:val="617"/>
            </w:pPr>
            <w:r>
              <w:t xml:space="preserve">Банк получателя: АРХАН</w:t>
            </w:r>
            <w:r>
              <w:t xml:space="preserve">ГЕЛЬСКОЕ ОТДЕЛЕНИЕ N 8637 ПАО СБЕРБАНК</w:t>
            </w:r>
            <w:r/>
            <w:r/>
          </w:p>
          <w:p>
            <w:pPr>
              <w:pStyle w:val="617"/>
            </w:pPr>
            <w:r>
              <w:t xml:space="preserve">БИК: 041117601</w:t>
            </w:r>
            <w:r/>
            <w:r/>
          </w:p>
          <w:p>
            <w:pPr>
              <w:pStyle w:val="617"/>
            </w:pPr>
            <w:r>
              <w:t xml:space="preserve">Корр. счёт: </w:t>
            </w:r>
            <w:r>
              <w:t xml:space="preserve">30101810100000000601</w:t>
            </w:r>
            <w:r/>
            <w:r/>
          </w:p>
          <w:p>
            <w:pPr>
              <w:pStyle w:val="617"/>
            </w:pPr>
            <w:r>
              <w:t xml:space="preserve">ИНН: </w:t>
            </w:r>
            <w:r>
              <w:t xml:space="preserve">7707083893</w:t>
            </w:r>
            <w:r/>
            <w:r/>
          </w:p>
          <w:p>
            <w:pPr>
              <w:pStyle w:val="617"/>
            </w:pPr>
            <w:r>
              <w:t xml:space="preserve">КПП: </w:t>
            </w:r>
            <w:r>
              <w:t xml:space="preserve">290102001</w:t>
            </w: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8.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Шаг аукциона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:highlight w:val="none"/>
              </w:rPr>
            </w:pPr>
            <w:r>
              <w:t xml:space="preserve">Лот № 1: </w:t>
            </w:r>
            <w:r>
              <w:t xml:space="preserve">10 %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Style w:val="617"/>
            </w:pPr>
            <w:r>
              <w:t xml:space="preserve">Лот № 2: </w:t>
            </w:r>
            <w:r>
              <w:t xml:space="preserve">10 %</w:t>
            </w:r>
            <w:r/>
            <w:r/>
          </w:p>
          <w:p>
            <w:pPr>
              <w:pStyle w:val="617"/>
            </w:pPr>
            <w:r>
              <w:t xml:space="preserve">Лот № 3: </w:t>
            </w:r>
            <w:r>
              <w:t xml:space="preserve">10 %</w:t>
            </w:r>
            <w:r/>
            <w:r/>
          </w:p>
          <w:p>
            <w:pPr>
              <w:pStyle w:val="617"/>
            </w:pPr>
            <w:r>
              <w:t xml:space="preserve">Лот № 4: </w:t>
            </w:r>
            <w:r>
              <w:t xml:space="preserve">10 %</w:t>
            </w:r>
            <w:r/>
            <w:r/>
            <w:r/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9.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Сообщение о продаже имущес</w:t>
            </w:r>
            <w:r>
              <w:t xml:space="preserve">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Сообщение о продаже имущества публикуется в газете «Коммерсантъ», </w:t>
            </w:r>
            <w:r>
              <w:t xml:space="preserve">а также </w:t>
            </w:r>
            <w:r>
              <w:t xml:space="preserve">размещается на Едином федеральном</w:t>
            </w:r>
            <w:r>
              <w:t xml:space="preserve"> реестре сведений о банкротстве</w:t>
            </w:r>
            <w:r>
              <w:t xml:space="preserve"> </w:t>
            </w:r>
            <w:r>
              <w:t xml:space="preserve">не позднее, чем за </w:t>
            </w:r>
            <w:r>
              <w:t xml:space="preserve">__ дней до даты проведения торгов </w:t>
            </w:r>
            <w:r>
              <w:rPr>
                <w:i/>
              </w:rPr>
              <w:t xml:space="preserve">(не позднее чем за 30 дней).</w:t>
            </w:r>
            <w:r/>
          </w:p>
          <w:p>
            <w:pPr>
              <w:pStyle w:val="617"/>
            </w:pPr>
            <w:r>
              <w:t xml:space="preserve">Текст сообщения до</w:t>
            </w:r>
            <w:r>
              <w:t xml:space="preserve">лжен содержать следующие сведения:</w:t>
            </w:r>
            <w:r/>
          </w:p>
          <w:p>
            <w:pPr>
              <w:pStyle w:val="617"/>
            </w:pPr>
            <w:r>
              <w:t xml:space="preserve">сведения об имуществе, его составе, характеристиках, описание имущества, порядок ознакомления с имуществом;</w:t>
            </w:r>
            <w:r/>
          </w:p>
          <w:p>
            <w:pPr>
              <w:pStyle w:val="617"/>
            </w:pPr>
            <w:r>
              <w:t xml:space="preserve">сведения о форме проведения торгов и форме представления предложений о цене имущества;</w:t>
            </w:r>
            <w:r/>
          </w:p>
          <w:p>
            <w:pPr>
              <w:pStyle w:val="617"/>
            </w:pPr>
            <w:r>
              <w:t xml:space="preserve">порядок, место, срок и время представления заявок на</w:t>
            </w:r>
            <w:r>
              <w:t xml:space="preserve"> участие в торгах и предложений о цен</w:t>
            </w:r>
            <w:r>
              <w:t xml:space="preserve">е имущества (даты и время начала и окончания</w:t>
            </w:r>
            <w:r>
              <w:t xml:space="preserve"> </w:t>
            </w:r>
            <w:r>
              <w:t xml:space="preserve">представления указанных заявок, дата и время начала представления указанных</w:t>
            </w:r>
            <w:r>
              <w:t xml:space="preserve"> предложений); </w:t>
            </w:r>
            <w:r/>
          </w:p>
          <w:p>
            <w:pPr>
              <w:pStyle w:val="617"/>
            </w:pPr>
            <w:r>
              <w:t xml:space="preserve">порядок оформления участия в торгах, перечень представляе</w:t>
            </w:r>
            <w:r>
              <w:t xml:space="preserve">мых участниками торгов документов и требования к их оформлению;</w:t>
            </w:r>
            <w:r/>
          </w:p>
          <w:p>
            <w:pPr>
              <w:pStyle w:val="617"/>
            </w:pPr>
            <w:r>
              <w:t xml:space="preserve">размер задатка, сроки и порядок внесения задатка, реквизиты счетов, на которые вносится задаток;</w:t>
            </w:r>
            <w:r/>
          </w:p>
          <w:p>
            <w:pPr>
              <w:pStyle w:val="617"/>
            </w:pPr>
            <w:r>
              <w:t xml:space="preserve">начальная цена продажи имущества;</w:t>
            </w:r>
            <w:r/>
          </w:p>
          <w:p>
            <w:pPr>
              <w:pStyle w:val="617"/>
            </w:pPr>
            <w:r>
              <w:t xml:space="preserve">величина повышения начальной цены продажи имущества ("шаг аукциона");</w:t>
            </w:r>
            <w:r/>
          </w:p>
          <w:p>
            <w:pPr>
              <w:pStyle w:val="617"/>
            </w:pPr>
            <w:r>
              <w:t xml:space="preserve">порядок и критерии выявления победителя торгов;</w:t>
            </w:r>
            <w:r/>
          </w:p>
          <w:p>
            <w:pPr>
              <w:pStyle w:val="617"/>
            </w:pPr>
            <w:r>
              <w:t xml:space="preserve">дата, время и место подведения результатов торгов;</w:t>
            </w:r>
            <w:r/>
          </w:p>
          <w:p>
            <w:pPr>
              <w:pStyle w:val="617"/>
            </w:pPr>
            <w:r>
              <w:t xml:space="preserve">порядок и срок заключения договора купли-продажи имущества;</w:t>
            </w:r>
            <w:r/>
          </w:p>
          <w:p>
            <w:pPr>
              <w:pStyle w:val="617"/>
            </w:pPr>
            <w:r>
              <w:t xml:space="preserve">сроки платежей, реквизиты счетов, на которые вносятся платежи;</w:t>
            </w:r>
            <w:r/>
          </w:p>
          <w:p>
            <w:pPr>
              <w:pStyle w:val="617"/>
            </w:pPr>
            <w:r>
              <w:t xml:space="preserve">сведения об организаторе </w:t>
            </w:r>
            <w:r>
              <w:t xml:space="preserve">торгов, его почтовый адрес, адрес электронной почты, номер контактного телефона.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10.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Заявка на участие в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Заявка на участие в торгах составляется в произвольной форме на русском языке и должна содержать следующие сведения:</w:t>
            </w:r>
            <w:r/>
          </w:p>
          <w:p>
            <w:pPr>
              <w:pStyle w:val="617"/>
            </w:pPr>
            <w:r>
              <w:t xml:space="preserve">а) наименование, организационно-правовая форма, мест</w:t>
            </w:r>
            <w:r>
              <w:t xml:space="preserve">о нахождения, почтовый адрес заявителя (для юридического лица);</w:t>
            </w:r>
            <w:r/>
          </w:p>
          <w:p>
            <w:pPr>
              <w:pStyle w:val="617"/>
            </w:pPr>
            <w:r>
              <w:t xml:space="preserve">б) фамилия, имя, отчество, паспортные данные, сведения о месте жительства заявителя (для физического лица);</w:t>
            </w:r>
            <w:r/>
          </w:p>
          <w:p>
            <w:pPr>
              <w:pStyle w:val="617"/>
            </w:pPr>
            <w:r>
              <w:t xml:space="preserve">в) номер контактного телефона, адрес электронной почты за</w:t>
            </w:r>
            <w:r>
              <w:t xml:space="preserve">я</w:t>
            </w:r>
            <w:r>
              <w:t xml:space="preserve">вителя</w:t>
            </w:r>
            <w:r>
              <w:t xml:space="preserve">; </w:t>
            </w:r>
            <w:r/>
          </w:p>
          <w:p>
            <w:pPr>
              <w:pStyle w:val="617"/>
            </w:pPr>
            <w:r>
              <w:t xml:space="preserve">г) сведения о наличии или об отсутствии заинтересованности заявителя по отношению к должнику, кредиторам, арбит</w:t>
            </w:r>
            <w:r>
              <w:t xml:space="preserve">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  <w:r/>
          </w:p>
          <w:p>
            <w:pPr>
              <w:pStyle w:val="617"/>
            </w:pPr>
            <w:r>
              <w:t xml:space="preserve">Заявка на участие в торгах направляется с помощью программно-аппаратных средств сайта электронной площадки, на которой проводятся торги</w:t>
            </w:r>
            <w:r>
              <w:t xml:space="preserve">, в форме электронного сообщения, подписанного квалифицированной электронной подписью заявителя.</w:t>
            </w:r>
            <w:r/>
          </w:p>
          <w:p>
            <w:pPr>
              <w:pStyle w:val="617"/>
            </w:pPr>
            <w:r>
              <w:t xml:space="preserve">Для участия в открытых торгах заявитель представляет оператору</w:t>
            </w:r>
            <w:r>
              <w:t xml:space="preserve">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</w:t>
            </w:r>
            <w:r>
              <w:t xml:space="preserve">занные в электронном сообщении о продаже, без представления подписанного договора о задатке. В эт</w:t>
            </w:r>
            <w:r>
              <w:t xml:space="preserve">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  <w:r/>
          </w:p>
          <w:p>
            <w:pPr>
              <w:pStyle w:val="617"/>
            </w:pPr>
            <w:r>
              <w:t xml:space="preserve"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</w:t>
            </w:r>
            <w:r>
              <w:t xml:space="preserve">сью заявителя.</w:t>
            </w:r>
            <w:r/>
          </w:p>
          <w:p>
            <w:pPr>
              <w:pStyle w:val="617"/>
            </w:pPr>
            <w:r>
              <w:t xml:space="preserve">Заявитель вправе изменить заявку на участие в торгах не позднее окончания срока представления заявок на участие в тор</w:t>
            </w:r>
            <w:r>
              <w:t xml:space="preserve">гах путем представления новой заявки, при этом первоначальная заявка должна быть отозвана.</w:t>
            </w:r>
            <w:r/>
          </w:p>
          <w:p>
            <w:pPr>
              <w:pStyle w:val="617"/>
            </w:pPr>
            <w:r>
              <w:t xml:space="preserve">В течение тридцати минут с момента представления заявки на участие в торга</w:t>
            </w:r>
            <w:r>
              <w:t xml:space="preserve">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</w:t>
            </w:r>
            <w:r>
              <w:t xml:space="preserve">даты и точного времени ее представления.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11.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 представле</w:t>
            </w:r>
            <w:r>
              <w:t xml:space="preserve">ния заявок на участие в</w:t>
            </w:r>
            <w:r>
              <w:t xml:space="preserve"> торгах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  <w:r/>
            <w:r/>
            <w:r/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12.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Определение участников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Не позднее тридцати минут после окончания срока пр</w:t>
            </w:r>
            <w:r>
              <w:t xml:space="preserve">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</w:t>
            </w:r>
            <w:r>
              <w:t xml:space="preserve">ния заявок.</w:t>
            </w:r>
            <w:r/>
          </w:p>
          <w:p>
            <w:pPr>
              <w:pStyle w:val="617"/>
            </w:pPr>
            <w:r>
              <w:t xml:space="preserve">Организатор торгов посредством программно-аппаратных средств сайта формирует протокол об определении участников торгов не позднее</w:t>
            </w:r>
            <w:r>
              <w:t xml:space="preserve">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  <w:r/>
          </w:p>
          <w:p>
            <w:pPr>
              <w:pStyle w:val="617"/>
            </w:pPr>
            <w:r>
              <w:t xml:space="preserve">В течение пяти календарных дней со дня подписания и направления протокола об определении участников торгов операто</w:t>
            </w:r>
            <w:r>
              <w:t xml:space="preserve">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</w:t>
            </w:r>
            <w:r>
              <w:t xml:space="preserve">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  <w:r/>
          </w:p>
          <w:p>
            <w:pPr>
              <w:pStyle w:val="617"/>
            </w:pPr>
            <w:r>
              <w:t xml:space="preserve">К участию в торгах допускаются заявители, представи</w:t>
            </w:r>
            <w:r>
              <w:t xml:space="preserve">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  <w:r/>
          </w:p>
          <w:p>
            <w:pPr>
              <w:pStyle w:val="617"/>
            </w:pPr>
            <w:r>
              <w:t xml:space="preserve">Решение об отказе в допуске заявителя к участию в торгах принимается в случае, если:</w:t>
            </w:r>
            <w:r/>
          </w:p>
          <w:p>
            <w:pPr>
              <w:pStyle w:val="617"/>
            </w:pPr>
            <w:r>
              <w:t xml:space="preserve">- заявка на участие в торгах не соответствует требованиям, указанным в сообщении о проведении торгов;</w:t>
            </w:r>
            <w:r/>
          </w:p>
          <w:p>
            <w:pPr>
              <w:pStyle w:val="617"/>
            </w:pPr>
            <w:r>
              <w:t xml:space="preserve">- представленные заявителем документы не соответствуют установленным к ним требованиям или недостоверны;</w:t>
            </w:r>
            <w:r/>
          </w:p>
          <w:p>
            <w:pPr>
              <w:pStyle w:val="617"/>
            </w:pPr>
            <w:r>
              <w:t xml:space="preserve">- пост</w:t>
            </w:r>
            <w:r>
              <w:t xml:space="preserve">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13.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Порядок проведения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</w:t>
            </w:r>
            <w:r>
              <w:t xml:space="preserve">нии о продаже.</w:t>
            </w:r>
            <w:r/>
          </w:p>
          <w:p>
            <w:pPr>
              <w:pStyle w:val="617"/>
            </w:pPr>
            <w: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</w:t>
            </w:r>
            <w:r>
              <w:t xml:space="preserve"> </w:t>
            </w:r>
            <w:r>
              <w:t xml:space="preserve">с указанием точного времени их поступл</w:t>
            </w:r>
            <w:r>
              <w:t xml:space="preserve">ения, а также времени, оставшегося до истечения срока представления таких предложений. </w:t>
            </w:r>
            <w:r/>
          </w:p>
          <w:p>
            <w:pPr>
              <w:pStyle w:val="617"/>
            </w:pPr>
            <w:r>
              <w:t xml:space="preserve">Торги проводятся путем повышения начальной цены продажи имущества на величину, равную "шагу аукциона".</w:t>
            </w:r>
            <w:r/>
          </w:p>
          <w:p>
            <w:pPr>
              <w:pStyle w:val="617"/>
            </w:pPr>
            <w:r>
              <w:t xml:space="preserve">Если в течение одного часа с момента начала представления предложений о цене не поступило ни одного предложения о цене, торги с по</w:t>
            </w:r>
            <w:r>
              <w:t xml:space="preserve">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</w:t>
            </w:r>
            <w:r>
              <w:t xml:space="preserve">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  <w:r/>
          </w:p>
          <w:p>
            <w:pPr>
              <w:pStyle w:val="617"/>
            </w:pPr>
            <w:r>
              <w:t xml:space="preserve">Если в течение тридцати минут после представления последнего предложения о цене (не учитывая отклоненных предложений о цене) не поступило следующее пр</w:t>
            </w:r>
            <w:r>
              <w:t xml:space="preserve">едложение, торги с помощью программно-аппаратных средств сайта завершаются автоматически.</w:t>
            </w:r>
            <w:r/>
          </w:p>
          <w:p>
            <w:pPr>
              <w:pStyle w:val="617"/>
            </w:pPr>
            <w:r>
              <w:t xml:space="preserve">Во время проведения торгов с помощью программно-аппаратных средств сайта предложение о цене</w:t>
            </w:r>
            <w:r>
              <w:t xml:space="preserve">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  <w:r/>
          </w:p>
          <w:p>
            <w:pPr>
              <w:pStyle w:val="617"/>
            </w:pPr>
            <w:r>
              <w:t xml:space="preserve">а) предложение о цене представлено по истечении установленного срока представления предложений о цене;</w:t>
            </w:r>
            <w:r/>
          </w:p>
          <w:p>
            <w:pPr>
              <w:pStyle w:val="617"/>
            </w:pPr>
            <w:r>
              <w:t xml:space="preserve">б) предложен</w:t>
            </w:r>
            <w:r>
              <w:t xml:space="preserve">ие о цене увеличено в размере, не равном "шагу аукциона", меньше или равно ранее представленному предложению о цене;</w:t>
            </w:r>
            <w:r/>
          </w:p>
          <w:p>
            <w:pPr>
              <w:pStyle w:val="617"/>
            </w:pPr>
            <w:r>
              <w:t xml:space="preserve">в) одним участником представлено второе предложение о цене подряд при отсутствии предложений других участников торгов.</w:t>
            </w:r>
            <w:r/>
          </w:p>
          <w:p>
            <w:pPr>
              <w:pStyle w:val="617"/>
            </w:pPr>
            <w:r>
              <w:t xml:space="preserve">Выигравшим аук</w:t>
            </w:r>
            <w:r>
              <w:t xml:space="preserve">цион признается участник, предложивший наиболее высокую цену за продаваемое имущество.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14.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Подведение результатов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Не </w:t>
            </w:r>
            <w:r>
              <w:t xml:space="preserve">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  <w:r/>
          </w:p>
          <w:p>
            <w:pPr>
              <w:pStyle w:val="617"/>
            </w:pPr>
            <w:r>
              <w:t xml:space="preserve">Организатор торгов рассматривает, подписывает квалифицированной электронной подписью и направляет оператору электронной площадки п</w:t>
            </w:r>
            <w:r>
              <w:t xml:space="preserve">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  <w:r/>
          </w:p>
          <w:p>
            <w:pPr>
              <w:pStyle w:val="617"/>
            </w:pPr>
            <w:r>
              <w:t xml:space="preserve">Протокол о результатах проведения торгов размещается оператором электронной площадки на электронной площадке.</w:t>
            </w:r>
            <w:r/>
          </w:p>
          <w:p>
            <w:pPr>
              <w:pStyle w:val="617"/>
            </w:pPr>
            <w:r>
              <w:t xml:space="preserve">Не позднее тридцати </w:t>
            </w:r>
            <w:r>
              <w:t xml:space="preserve">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</w:t>
            </w:r>
            <w:r>
              <w:t xml:space="preserve">ый в заявке на участие в торгах.</w:t>
            </w:r>
            <w:r/>
          </w:p>
          <w:p>
            <w:pPr>
              <w:pStyle w:val="617"/>
            </w:pPr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  <w:r/>
          </w:p>
          <w:p>
            <w:pPr>
              <w:pStyle w:val="617"/>
            </w:pPr>
            <w:r>
              <w:t xml:space="preserve">Оператором электронной площадки с помощью программно-аппарат</w:t>
            </w:r>
            <w:r>
              <w:t xml:space="preserve">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  <w:r/>
          </w:p>
          <w:p>
            <w:pPr>
              <w:pStyle w:val="617"/>
            </w:pPr>
            <w:r>
              <w:t xml:space="preserve">окончания срока представления заявок на уча</w:t>
            </w:r>
            <w:r>
              <w:t xml:space="preserve">стие в торгах при отсутствии заявок на участие в торгах;</w:t>
            </w:r>
            <w:r/>
          </w:p>
          <w:p>
            <w:pPr>
              <w:pStyle w:val="617"/>
            </w:pPr>
            <w:r>
              <w:t xml:space="preserve"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  <w:r/>
          </w:p>
          <w:p>
            <w:pPr>
              <w:pStyle w:val="617"/>
            </w:pPr>
            <w:r>
              <w:t xml:space="preserve">Организатор торгов рассматривает, подписывае</w:t>
            </w:r>
            <w:r>
              <w:t xml:space="preserve">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  <w:r/>
          </w:p>
          <w:p>
            <w:pPr>
              <w:pStyle w:val="617"/>
            </w:pPr>
            <w:r>
              <w:t xml:space="preserve">Решение о признании торгов несостоявшимися размещается оператором электронной площадки на электронной площадке.</w:t>
            </w:r>
            <w:r/>
          </w:p>
          <w:p>
            <w:pPr>
              <w:pStyle w:val="617"/>
            </w:pPr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</w:t>
            </w:r>
            <w:r>
              <w:t xml:space="preserve">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</w:p>
          <w:p>
            <w:pPr>
              <w:pStyle w:val="617"/>
            </w:pPr>
            <w: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</w:t>
            </w:r>
            <w:r>
              <w:t xml:space="preserve">имущества заключается финансовым</w:t>
            </w:r>
            <w:r>
              <w:t xml:space="preserve"> управляющим с этим участником торгов в соответствии с представленным им предложением о цене имущества.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15.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Порядок и срок заключения договора купли-продажи </w:t>
            </w:r>
            <w:r>
              <w:t xml:space="preserve">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течение пяти дней с даты </w:t>
            </w:r>
            <w:r>
              <w:t xml:space="preserve">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  <w:r/>
          </w:p>
          <w:p>
            <w:pPr>
              <w:pStyle w:val="617"/>
            </w:pPr>
            <w:r>
              <w:t xml:space="preserve"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  <w:r/>
          </w:p>
          <w:p>
            <w:pPr>
              <w:pStyle w:val="617"/>
            </w:pPr>
            <w:r>
              <w:t xml:space="preserve">В случае отказа или уклонения победителя торгов от подписания договора куп</w:t>
            </w:r>
            <w:r>
              <w:t xml:space="preserve">ли-продажи имущества в течение пяти дней со дня п</w:t>
            </w:r>
            <w:r>
              <w:t xml:space="preserve">олучения предложения финансового</w:t>
            </w:r>
            <w:r>
              <w:t xml:space="preserve"> управляющего о заключении такого договора внесенный з</w:t>
            </w:r>
            <w:r>
              <w:t xml:space="preserve">адаток ему не возвращается и финансовый</w:t>
            </w:r>
            <w:r>
              <w:t xml:space="preserve">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6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Условия возврата задатка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Суммы внесенных заявителями задатков возвращаются всем заявителям, за исключени</w:t>
            </w:r>
            <w:r>
              <w:t xml:space="preserve">ем победителя торгов, в течение пяти рабочих дней со дня подписания протокола о результатах проведения торгов.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7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Условия оплаты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  <w:rPr>
                <w:highlight w:val="none"/>
              </w:rPr>
            </w:pPr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  <w:r/>
            <w:r/>
          </w:p>
          <w:p>
            <w:pPr>
              <w:pStyle w:val="617"/>
            </w:pPr>
            <w:r>
              <w:t xml:space="preserve">Валюта получаемого перевода: Российский рубль (RUB)</w:t>
            </w:r>
            <w:r/>
            <w:r/>
          </w:p>
          <w:p>
            <w:pPr>
              <w:pStyle w:val="617"/>
            </w:pPr>
            <w:r>
              <w:t xml:space="preserve">Получатель: </w:t>
            </w:r>
            <w:r>
              <w:t xml:space="preserve">КАЛИНИНА АНТОНИНА ТИХОНОВНА</w:t>
            </w:r>
            <w:r/>
            <w:r/>
          </w:p>
          <w:p>
            <w:pPr>
              <w:pStyle w:val="617"/>
            </w:pPr>
            <w:r>
              <w:t xml:space="preserve">Номер счёта: </w:t>
            </w:r>
            <w:r>
              <w:t xml:space="preserve">40817810004002066211</w:t>
            </w:r>
            <w:r/>
            <w:r/>
          </w:p>
          <w:p>
            <w:pPr>
              <w:pStyle w:val="617"/>
            </w:pPr>
            <w:r>
              <w:t xml:space="preserve">Банк получателя: АРХАН</w:t>
            </w:r>
            <w:r>
              <w:t xml:space="preserve">ГЕЛЬСКОЕ ОТДЕЛЕНИЕ N 8637 ПАО СБЕРБАНК</w:t>
            </w:r>
            <w:r/>
            <w:r/>
          </w:p>
          <w:p>
            <w:pPr>
              <w:pStyle w:val="617"/>
            </w:pPr>
            <w:r>
              <w:t xml:space="preserve">БИК: 041117601</w:t>
            </w:r>
            <w:r/>
            <w:r/>
          </w:p>
          <w:p>
            <w:pPr>
              <w:pStyle w:val="617"/>
            </w:pPr>
            <w:r>
              <w:t xml:space="preserve">Корр. счёт: </w:t>
            </w:r>
            <w:r>
              <w:t xml:space="preserve">30101810100000000601</w:t>
            </w:r>
            <w:r/>
            <w:r/>
          </w:p>
          <w:p>
            <w:pPr>
              <w:pStyle w:val="617"/>
            </w:pPr>
            <w:r>
              <w:t xml:space="preserve">ИНН: </w:t>
            </w:r>
            <w:r>
              <w:t xml:space="preserve">7707083893</w:t>
            </w:r>
            <w:r/>
            <w:r/>
          </w:p>
          <w:p>
            <w:pPr>
              <w:pStyle w:val="617"/>
            </w:pPr>
            <w:r>
              <w:t xml:space="preserve">КПП: </w:t>
            </w:r>
            <w:r>
              <w:t xml:space="preserve">290102001</w:t>
            </w:r>
            <w:r/>
            <w:r/>
            <w:r>
              <w:rPr>
                <w:highlight w:val="none"/>
              </w:rPr>
            </w:r>
            <w:r>
              <w:rPr>
                <w:highlight w:val="none"/>
              </w:rPr>
            </w:r>
            <w:r/>
          </w:p>
          <w:p>
            <w:pPr>
              <w:pStyle w:val="617"/>
            </w:pPr>
            <w:r>
              <w:t xml:space="preserve">При заключении договора с лицом, выигравшим торги, сумма внесенного им задатка засчитывается в счет исполнения договора.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8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Оформление договора купли-продажи имущества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Обязательн</w:t>
            </w:r>
            <w:r>
              <w:t xml:space="preserve">ыми условиями до</w:t>
            </w:r>
            <w:r>
              <w:t xml:space="preserve">говора купли-продажи имущества</w:t>
            </w:r>
            <w:r>
              <w:t xml:space="preserve"> являются:</w:t>
            </w:r>
            <w:r/>
          </w:p>
          <w:p>
            <w:pPr>
              <w:pStyle w:val="617"/>
            </w:pPr>
            <w:r>
              <w:t xml:space="preserve">сведения об имуществе</w:t>
            </w:r>
            <w:r>
              <w:t xml:space="preserve">, его составе, харак</w:t>
            </w:r>
            <w:r>
              <w:t xml:space="preserve">теристиках, описание имущества</w:t>
            </w:r>
            <w:r>
              <w:t xml:space="preserve">;</w:t>
            </w:r>
            <w:r/>
          </w:p>
          <w:p>
            <w:pPr>
              <w:pStyle w:val="617"/>
            </w:pPr>
            <w:r>
              <w:t xml:space="preserve">цена продажи имущества</w:t>
            </w:r>
            <w:r>
              <w:t xml:space="preserve">;</w:t>
            </w:r>
            <w:r/>
          </w:p>
          <w:p>
            <w:pPr>
              <w:pStyle w:val="617"/>
            </w:pPr>
            <w:r>
              <w:t xml:space="preserve">пор</w:t>
            </w:r>
            <w:r>
              <w:t xml:space="preserve">ядок и срок передачи имущества</w:t>
            </w:r>
            <w:r>
              <w:t xml:space="preserve"> покупателю;</w:t>
            </w:r>
            <w:r/>
          </w:p>
          <w:p>
            <w:pPr>
              <w:pStyle w:val="617"/>
            </w:pPr>
            <w:r>
              <w:t xml:space="preserve">сведения о наличии или об отсутствии обр</w:t>
            </w:r>
            <w:r>
              <w:t xml:space="preserve">еменении в отношении имущества</w:t>
            </w:r>
            <w:r>
              <w:t xml:space="preserve">, в том числе публичного сервитута;</w:t>
            </w:r>
            <w:r/>
          </w:p>
          <w:p>
            <w:pPr>
              <w:pStyle w:val="617"/>
            </w:pPr>
            <w:r>
              <w:t xml:space="preserve">иные предусмотренные законодательством Российской Федерации условия.</w:t>
            </w:r>
            <w:r/>
          </w:p>
          <w:p>
            <w:pPr>
              <w:pStyle w:val="617"/>
            </w:pPr>
            <w:r>
              <w:t xml:space="preserve">Передача имущества финансовым</w:t>
            </w:r>
            <w:r>
              <w:t xml:space="preserve"> управляющим и принятие его покупателем осуществляются по передаточному акту, подписываемому сторонами и офо</w:t>
            </w:r>
            <w:r>
              <w:t xml:space="preserve">рмляемому в соответствии с </w:t>
            </w:r>
            <w:r>
              <w:fldChar w:fldCharType="begin"/>
            </w:r>
            <w:r>
              <w:instrText xml:space="preserve"> HYPERLINK "consultantplus://offline/ref=C170E87E5106903B2C2693164E83ABCA2276C913842C8ACC75FF6C560D0667AC2FE2ED39A0D15019R9r5M" </w:instrText>
            </w:r>
            <w:r>
              <w:fldChar w:fldCharType="separate"/>
            </w:r>
            <w:r>
              <w:rPr>
                <w:rStyle w:val="623"/>
                <w:color w:val="000000"/>
                <w:u w:val="none"/>
              </w:rPr>
              <w:t xml:space="preserve">законодательством</w:t>
            </w:r>
            <w:r>
              <w:rPr>
                <w:rStyle w:val="623"/>
                <w:color w:val="000000"/>
                <w:u w:val="none"/>
              </w:rPr>
              <w:fldChar w:fldCharType="end"/>
            </w:r>
            <w:r>
              <w:t xml:space="preserve"> Российской Федерации.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t xml:space="preserve">1</w:t>
            </w:r>
            <w:r>
              <w:rPr>
                <w:lang w:val="en-US"/>
              </w:rPr>
              <w:t xml:space="preserve">9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Проведение повторных торгов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</w:t>
            </w:r>
            <w:r>
              <w:t xml:space="preserve">по результатам торгов финансовый</w:t>
            </w:r>
            <w:r>
              <w:t xml:space="preserve"> управляющий в течение двух дней после завершения срока, установленного </w:t>
            </w:r>
            <w:r>
              <w:t xml:space="preserve">для принятия решений о признании торгов несостоявшими</w:t>
            </w:r>
            <w:r>
              <w:t xml:space="preserve">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  <w:r/>
          </w:p>
          <w:p>
            <w:pPr>
              <w:pStyle w:val="617"/>
            </w:pPr>
            <w:r>
              <w:t xml:space="preserve">Повторные торги проводятся в соответствии с условиями проведения первоначальных торгов.</w:t>
            </w:r>
            <w:r/>
          </w:p>
          <w:p>
            <w:pPr>
              <w:pStyle w:val="617"/>
            </w:pPr>
            <w:r>
              <w:t xml:space="preserve">Начальная цена продажи имущества на повторных торгах устанавливается на десять процентов ниже начальной цены прода</w:t>
            </w:r>
            <w:r>
              <w:t xml:space="preserve">жи имущества, установленной на первоначальных торгах</w:t>
            </w:r>
            <w:r>
              <w:t xml:space="preserve">.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287" w:type="dxa"/>
            <w:vAlign w:val="top"/>
            <w:textDirection w:val="lrTb"/>
            <w:noWrap w:val="false"/>
          </w:tcPr>
          <w:p>
            <w:pPr>
              <w:pStyle w:val="617"/>
              <w:jc w:val="center"/>
            </w:pPr>
            <w:r>
              <w:rPr>
                <w:lang w:val="en-US"/>
              </w:rPr>
              <w:t xml:space="preserve">20</w:t>
            </w:r>
            <w:r>
              <w:t xml:space="preserve">.</w:t>
            </w:r>
            <w:r/>
          </w:p>
        </w:tc>
        <w:tc>
          <w:tcPr>
            <w:tcW w:w="2582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Продажа имущества посредством публичного предложения</w:t>
            </w:r>
            <w:r/>
          </w:p>
        </w:tc>
        <w:tc>
          <w:tcPr>
            <w:tcW w:w="7059" w:type="dxa"/>
            <w:vAlign w:val="top"/>
            <w:textDirection w:val="lrTb"/>
            <w:noWrap w:val="false"/>
          </w:tcPr>
          <w:p>
            <w:pPr>
              <w:pStyle w:val="617"/>
            </w:pPr>
            <w:r>
              <w:t xml:space="preserve">В случае, если повторные торги по продаже имущества должника признаны несостоявш</w:t>
            </w:r>
            <w:r>
              <w:t xml:space="preserve">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  <w:r/>
            <w:r/>
          </w:p>
          <w:p>
            <w:pPr>
              <w:pStyle w:val="617"/>
            </w:pPr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  <w:r/>
            <w:r/>
          </w:p>
          <w:p>
            <w:pPr>
              <w:pStyle w:val="617"/>
            </w:pPr>
            <w:r>
              <w:t xml:space="preserve">Начальная цена продажи имущества устанавливается в размере начальной цены продажи имущества, установленной на повторных торгах.</w:t>
            </w:r>
            <w:r/>
            <w:r/>
          </w:p>
          <w:p>
            <w:pPr>
              <w:pStyle w:val="617"/>
            </w:pPr>
            <w:r>
              <w:t xml:space="preserve">Величина снижения начальной цены продажи имущества должника - 10 %.</w:t>
            </w:r>
            <w:r/>
            <w:r/>
          </w:p>
          <w:p>
            <w:pPr>
              <w:pStyle w:val="617"/>
            </w:pPr>
            <w:r>
              <w:t xml:space="preserve"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Сообщение о продаже имущества посредством публичного предложения публикуется в газете «Коммерсантъ», а также размеща</w:t>
            </w:r>
            <w:r>
              <w:t xml:space="preserve">ется на Едином федеральном реестре сведений о банкротстве за 3 дней до даты начала приема заяв</w:t>
            </w:r>
            <w:r>
              <w:t xml:space="preserve">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  <w:r/>
            <w:r/>
          </w:p>
          <w:p>
            <w:pPr>
              <w:pStyle w:val="617"/>
            </w:pPr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</w:t>
            </w:r>
            <w:r>
              <w:t xml:space="preserve">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</w:t>
            </w:r>
            <w:r>
              <w:t xml:space="preserve">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</w:t>
            </w:r>
            <w:r>
              <w:t xml:space="preserve">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</w:t>
            </w:r>
            <w:r>
              <w:t xml:space="preserve">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</w:t>
            </w:r>
            <w:r>
              <w:t xml:space="preserve">, установлен</w:t>
            </w:r>
            <w:r>
              <w:t xml:space="preserve">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  <w:r/>
            <w:r/>
          </w:p>
          <w:p>
            <w:pPr>
              <w:pStyle w:val="617"/>
            </w:pPr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  <w:r/>
            <w:r/>
          </w:p>
          <w:p>
            <w:pPr>
              <w:pStyle w:val="617"/>
            </w:pPr>
            <w:r>
              <w:t xml:space="preserve">При участии в торгах посредством публичного предложения заявитель обязан обеспечить поступление задатка на счета,</w:t>
            </w:r>
            <w:r>
              <w:t xml:space="preserve">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Заявки на участие в торгах, поступившие в т</w:t>
            </w:r>
            <w:r>
              <w:t xml:space="preserve">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  <w:r/>
            <w:r/>
          </w:p>
          <w:p>
            <w:pPr>
              <w:pStyle w:val="617"/>
            </w:pPr>
            <w:r>
              <w:t xml:space="preserve">Определение участник</w:t>
            </w:r>
            <w:r>
              <w:t xml:space="preserve">ов торгов, проводимых в форме публичного предложения осуществляется в следующем порядке:</w:t>
            </w:r>
            <w:r/>
            <w:r/>
          </w:p>
          <w:p>
            <w:pPr>
              <w:pStyle w:val="617"/>
            </w:pPr>
            <w: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</w:t>
            </w:r>
            <w:r>
              <w:t xml:space="preserve">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</w:t>
            </w:r>
            <w:r>
              <w:t xml:space="preserve"> одного из следующих случаев:</w:t>
            </w:r>
            <w:r/>
            <w:r/>
          </w:p>
          <w:p>
            <w:pPr>
              <w:pStyle w:val="617"/>
            </w:pPr>
            <w:r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r>
              <w:t xml:space="preserve">конк</w:t>
            </w:r>
            <w:r>
              <w:t xml:space="preserve">урсным кредитором предмета залога за собой;</w:t>
            </w:r>
            <w:r/>
            <w:r/>
          </w:p>
          <w:p>
            <w:pPr>
              <w:pStyle w:val="617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Если имеются</w:t>
            </w:r>
            <w:r>
              <w:t xml:space="preserve">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</w:t>
            </w:r>
            <w:r>
              <w:t xml:space="preserve">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  <w:r/>
            <w:r/>
          </w:p>
          <w:p>
            <w:pPr>
              <w:pStyle w:val="617"/>
            </w:pPr>
            <w:r>
              <w:t xml:space="preserve">завершения торгов вследствие оставления конкурсным кредитором предмета залога за собой;</w:t>
            </w:r>
            <w:r/>
            <w:r/>
          </w:p>
          <w:p>
            <w:pPr>
              <w:pStyle w:val="617"/>
            </w:pPr>
            <w:r>
              <w:t xml:space="preserve">окончания периода проведения торгов.</w:t>
            </w:r>
            <w:r/>
            <w:r/>
          </w:p>
          <w:p>
            <w:pPr>
              <w:pStyle w:val="617"/>
            </w:pPr>
            <w:r>
              <w:t xml:space="preserve"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</w:t>
            </w:r>
            <w:r>
              <w:t xml:space="preserve">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  <w:r/>
            <w:r/>
          </w:p>
          <w:p>
            <w:pPr>
              <w:pStyle w:val="617"/>
            </w:pPr>
            <w:r>
              <w:t xml:space="preserve">получения от организатора торгов (по окончании любого периода проведения торгов ил</w:t>
            </w:r>
            <w:r>
              <w:t xml:space="preserve">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</w:t>
            </w:r>
            <w:r>
              <w:t xml:space="preserve">один участник;</w:t>
            </w:r>
            <w:r/>
            <w:r/>
          </w:p>
          <w:p>
            <w:pPr>
              <w:pStyle w:val="617"/>
            </w:pPr>
            <w:r>
              <w:t xml:space="preserve">получения от организатора торгов (по окончании последнего периода проведения торгов или по завершении торгов вследствие</w:t>
            </w:r>
            <w:r>
              <w:t xml:space="preserve">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  <w:r/>
            <w:r/>
          </w:p>
          <w:p>
            <w:pPr>
              <w:pStyle w:val="617"/>
            </w:pPr>
            <w:r>
              <w:t xml:space="preserve">окончания последнего периода проведения торгов или завершения торгов вследствие поступления электронного сообщения о заве</w:t>
            </w:r>
            <w:r>
              <w:t xml:space="preserve">ршении торгов вследствие оставления конкурсным кредитором предмета залога за собой, при отсутствии заявок на участие в торгах.</w:t>
            </w:r>
            <w:r/>
            <w:r/>
          </w:p>
          <w:p>
            <w:pPr>
              <w:pStyle w:val="617"/>
            </w:pPr>
            <w:r>
              <w:t xml:space="preserve">Организатор торгов рассматривает, подписывает квалифицированной электронной подписью и направляет опе</w:t>
            </w:r>
            <w:r>
              <w:t xml:space="preserve">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  <w:r/>
            <w:r/>
          </w:p>
          <w:p>
            <w:pPr>
              <w:pStyle w:val="617"/>
            </w:pPr>
            <w:r>
              <w:t xml:space="preserve">Протокол о результатах пров</w:t>
            </w:r>
            <w:r>
              <w:t xml:space="preserve">едения торгов или решение о признании торгов несостоявшимися размещаются оператором электронной площадки на электронной площадке.</w:t>
            </w:r>
            <w:r/>
            <w:r/>
          </w:p>
          <w:p>
            <w:pPr>
              <w:pStyle w:val="617"/>
            </w:pPr>
            <w:r>
              <w:t xml:space="preserve">Не позднее тридцати минут после размещения на электронной площадке указанных прото</w:t>
            </w:r>
            <w:r>
              <w:t xml:space="preserve">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  <w:r/>
            <w:r/>
          </w:p>
          <w:p>
            <w:pPr>
              <w:pStyle w:val="617"/>
            </w:pPr>
            <w:r/>
          </w:p>
        </w:tc>
      </w:tr>
    </w:tbl>
    <w:p>
      <w:pPr>
        <w:pStyle w:val="617"/>
      </w:pPr>
      <w:r/>
      <w:r/>
    </w:p>
    <w:p>
      <w:pPr>
        <w:pStyle w:val="617"/>
        <w:jc w:val="both"/>
      </w:pPr>
      <w:r/>
      <w:r/>
    </w:p>
    <w:p>
      <w:pPr>
        <w:pStyle w:val="617"/>
        <w:ind w:left="-567"/>
        <w:jc w:val="both"/>
      </w:pPr>
      <w:r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>
        <w:t xml:space="preserve">Приказом Минэк</w:t>
      </w:r>
      <w:r>
        <w:t xml:space="preserve">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</w:t>
      </w:r>
      <w:r>
        <w:t xml:space="preserve">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</w:t>
      </w:r>
      <w:r>
        <w:t xml:space="preserve">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  <w:r/>
    </w:p>
    <w:p>
      <w:pPr>
        <w:pStyle w:val="624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>
        <w:tblPrEx/>
        <w:trPr>
          <w:tblCellSpacing w:w="0" w:type="dxa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17"/>
            </w:pPr>
            <w:r/>
            <w:r/>
          </w:p>
          <w:p>
            <w:pPr>
              <w:pStyle w:val="617"/>
            </w:pPr>
            <w:r>
              <w:t xml:space="preserve">Финансовый управляющий</w:t>
            </w:r>
            <w:r>
              <w:rPr>
                <w:bCs/>
              </w:rPr>
              <w:br w:type="textWrapping" w:clear="all"/>
            </w:r>
            <w:r>
              <w:t xml:space="preserve">Калининой Антонины Тихоновны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0" w:type="auto"/>
            <w:vAlign w:val="center"/>
            <w:textDirection w:val="lrTb"/>
            <w:noWrap w:val="false"/>
          </w:tcPr>
          <w:p>
            <w:pPr>
              <w:pStyle w:val="617"/>
            </w:pPr>
            <w:r>
              <w:t xml:space="preserve"> 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484" w:type="pct"/>
            <w:vAlign w:val="top"/>
            <w:textDirection w:val="lrTb"/>
            <w:noWrap w:val="false"/>
          </w:tcPr>
          <w:p>
            <w:pPr>
              <w:pStyle w:val="62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Н.А. Газизова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17"/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next w:val="617"/>
    <w:link w:val="617"/>
    <w:qFormat/>
    <w:pPr>
      <w:widowControl w:val="off"/>
    </w:pPr>
    <w:rPr>
      <w:rFonts w:ascii="Times New Roman" w:hAnsi="Times New Roman" w:eastAsia="Times New Roman"/>
      <w:lang w:val="ru-RU" w:eastAsia="ru-RU" w:bidi="ar-SA"/>
    </w:rPr>
  </w:style>
  <w:style w:type="character" w:styleId="618">
    <w:name w:val="Основной шрифт абзаца"/>
    <w:next w:val="618"/>
    <w:link w:val="617"/>
    <w:uiPriority w:val="1"/>
    <w:semiHidden/>
    <w:unhideWhenUsed/>
  </w:style>
  <w:style w:type="table" w:styleId="619">
    <w:name w:val="Обычная таблица"/>
    <w:next w:val="619"/>
    <w:link w:val="617"/>
    <w:uiPriority w:val="99"/>
    <w:semiHidden/>
    <w:unhideWhenUsed/>
    <w:tblPr/>
  </w:style>
  <w:style w:type="numbering" w:styleId="620">
    <w:name w:val="Нет списка"/>
    <w:next w:val="620"/>
    <w:link w:val="617"/>
    <w:uiPriority w:val="99"/>
    <w:semiHidden/>
    <w:unhideWhenUsed/>
  </w:style>
  <w:style w:type="paragraph" w:styleId="621">
    <w:name w:val="Обычный1"/>
    <w:next w:val="621"/>
    <w:link w:val="617"/>
    <w:rPr>
      <w:rFonts w:ascii="Times New Roman" w:hAnsi="Times New Roman" w:eastAsia="Times New Roman"/>
      <w:lang w:val="ru-RU" w:eastAsia="ru-RU" w:bidi="ar-SA"/>
    </w:rPr>
  </w:style>
  <w:style w:type="table" w:styleId="622">
    <w:name w:val="Сетка таблицы"/>
    <w:basedOn w:val="619"/>
    <w:next w:val="622"/>
    <w:link w:val="617"/>
    <w:uiPriority w:val="59"/>
    <w:pPr>
      <w:spacing w:after="0" w:line="240" w:lineRule="auto"/>
    </w:pPr>
    <w:tblPr/>
  </w:style>
  <w:style w:type="character" w:styleId="623">
    <w:name w:val="Гиперссылка"/>
    <w:next w:val="623"/>
    <w:link w:val="617"/>
    <w:uiPriority w:val="99"/>
    <w:unhideWhenUsed/>
    <w:rPr>
      <w:color w:val="0000ff"/>
      <w:u w:val="single"/>
    </w:rPr>
  </w:style>
  <w:style w:type="paragraph" w:styleId="624">
    <w:name w:val="ConsPlusNonformat"/>
    <w:next w:val="624"/>
    <w:link w:val="617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paragraph" w:styleId="625">
    <w:name w:val="Обычный (веб)"/>
    <w:basedOn w:val="617"/>
    <w:next w:val="625"/>
    <w:link w:val="617"/>
    <w:pPr>
      <w:spacing w:before="240" w:after="240"/>
      <w:widowControl/>
    </w:pPr>
    <w:rPr>
      <w:sz w:val="24"/>
      <w:szCs w:val="24"/>
    </w:rPr>
  </w:style>
  <w:style w:type="character" w:styleId="1993" w:default="1">
    <w:name w:val="Default Paragraph Font"/>
    <w:uiPriority w:val="1"/>
    <w:semiHidden/>
    <w:unhideWhenUsed/>
  </w:style>
  <w:style w:type="numbering" w:styleId="1994" w:default="1">
    <w:name w:val="No List"/>
    <w:uiPriority w:val="99"/>
    <w:semiHidden/>
    <w:unhideWhenUsed/>
  </w:style>
  <w:style w:type="table" w:styleId="199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alesh</cp:lastModifiedBy>
  <cp:revision>3</cp:revision>
  <dcterms:created xsi:type="dcterms:W3CDTF">2025-12-24T12:49:00Z</dcterms:created>
  <dcterms:modified xsi:type="dcterms:W3CDTF">2025-12-24T15:08:22Z</dcterms:modified>
  <cp:version>1048576</cp:version>
</cp:coreProperties>
</file>