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DB7E77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C84846D" w14:textId="77777777" w:rsidR="00DB7E77" w:rsidRPr="00DB7E77" w:rsidRDefault="00DB7E77" w:rsidP="00DB7E77">
      <w:pPr>
        <w:spacing w:before="100" w:beforeAutospacing="1" w:after="120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Решением Арбитражного суда Тверской области по делу №А66-10420/2024 </w:t>
      </w:r>
      <w:proofErr w:type="spellStart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Шабельная</w:t>
      </w:r>
      <w:proofErr w:type="spellEnd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И. В. от 25.11.2024 гражданин Зайцев Ю. Е. 19.08.1969 г.р., уроженец </w:t>
      </w:r>
      <w:proofErr w:type="spellStart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г.Кашин</w:t>
      </w:r>
      <w:proofErr w:type="spellEnd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Тверской обл., адрес регистрации: Тверская обл., с. </w:t>
      </w:r>
      <w:proofErr w:type="spellStart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Бурашево</w:t>
      </w:r>
      <w:proofErr w:type="spellEnd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, ул. Продольная 29а, ИНН: 695001793683, СНИЛС: 16108358349)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2D94F80" w14:textId="77777777" w:rsidR="00DB7E77" w:rsidRPr="00DB7E77" w:rsidRDefault="00DB7E77" w:rsidP="00DB7E77">
      <w:pPr>
        <w:spacing w:before="100" w:beforeAutospacing="1" w:after="120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ул</w:t>
      </w:r>
      <w:proofErr w:type="spellEnd"/>
      <w:r w:rsidRPr="00DB7E77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1A008C25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</w:p>
    <w:p w14:paraId="6EA2DA73" w14:textId="40BB64F2" w:rsidR="006337A8" w:rsidRPr="004C52D8" w:rsidRDefault="006337A8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lang w:eastAsia="ru-RU"/>
        </w:rPr>
        <w:t>Наименование получателя: Зайцев Юрий Евгеньевич</w:t>
      </w:r>
    </w:p>
    <w:p w14:paraId="580EF2BE" w14:textId="750489F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Номер счета: </w:t>
      </w:r>
      <w:r w:rsidR="006337A8" w:rsidRPr="006337A8">
        <w:rPr>
          <w:rFonts w:ascii="Verdana" w:hAnsi="Verdana"/>
          <w:sz w:val="18"/>
        </w:rPr>
        <w:t xml:space="preserve">40817810250205544291             </w:t>
      </w:r>
    </w:p>
    <w:p w14:paraId="50834F12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Наименование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получателя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ФИЛИАЛ</w:t>
      </w:r>
      <w:r w:rsidRPr="004C52D8">
        <w:rPr>
          <w:rFonts w:ascii="Verdana" w:hAnsi="Verdana"/>
          <w:sz w:val="18"/>
        </w:rPr>
        <w:t xml:space="preserve"> "</w:t>
      </w:r>
      <w:r w:rsidRPr="004C52D8">
        <w:rPr>
          <w:rFonts w:ascii="Verdana" w:hAnsi="Verdana" w:hint="eastAsia"/>
          <w:sz w:val="18"/>
        </w:rPr>
        <w:t>ЦЕНТРАЛЬНЫЙ</w:t>
      </w:r>
      <w:r w:rsidRPr="004C52D8">
        <w:rPr>
          <w:rFonts w:ascii="Verdana" w:hAnsi="Verdana"/>
          <w:sz w:val="18"/>
        </w:rPr>
        <w:t xml:space="preserve">" </w:t>
      </w:r>
      <w:r w:rsidRPr="004C52D8">
        <w:rPr>
          <w:rFonts w:ascii="Verdana" w:hAnsi="Verdana" w:hint="eastAsia"/>
          <w:sz w:val="18"/>
        </w:rPr>
        <w:t>ПАО</w:t>
      </w:r>
    </w:p>
    <w:p w14:paraId="587D3C88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>"</w:t>
      </w:r>
      <w:r w:rsidRPr="004C52D8">
        <w:rPr>
          <w:rFonts w:ascii="Verdana" w:hAnsi="Verdana" w:hint="eastAsia"/>
          <w:sz w:val="18"/>
        </w:rPr>
        <w:t>СОВКОМБАНК</w:t>
      </w:r>
      <w:r w:rsidRPr="004C52D8">
        <w:rPr>
          <w:rFonts w:ascii="Verdana" w:hAnsi="Verdana"/>
          <w:sz w:val="18"/>
        </w:rPr>
        <w:t>"(</w:t>
      </w:r>
      <w:r w:rsidRPr="004C52D8">
        <w:rPr>
          <w:rFonts w:ascii="Verdana" w:hAnsi="Verdana" w:hint="eastAsia"/>
          <w:sz w:val="18"/>
        </w:rPr>
        <w:t>БЕРДСК</w:t>
      </w:r>
      <w:r w:rsidRPr="004C52D8">
        <w:rPr>
          <w:rFonts w:ascii="Verdana" w:hAnsi="Verdana"/>
          <w:sz w:val="18"/>
        </w:rPr>
        <w:t>)</w:t>
      </w:r>
    </w:p>
    <w:p w14:paraId="578802D3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Корреспондентский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счет</w:t>
      </w:r>
      <w:r w:rsidRPr="004C52D8">
        <w:rPr>
          <w:rFonts w:ascii="Verdana" w:hAnsi="Verdana"/>
          <w:sz w:val="18"/>
        </w:rPr>
        <w:t xml:space="preserve"> 30101810150040000763</w:t>
      </w:r>
    </w:p>
    <w:p w14:paraId="17E13531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БИК</w:t>
      </w:r>
      <w:r w:rsidRPr="004C52D8">
        <w:rPr>
          <w:rFonts w:ascii="Verdana" w:hAnsi="Verdana"/>
          <w:sz w:val="18"/>
        </w:rPr>
        <w:t xml:space="preserve"> 045004763</w:t>
      </w:r>
    </w:p>
    <w:p w14:paraId="35C258CA" w14:textId="77777777" w:rsidR="003241CB" w:rsidRPr="00B7296E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4C52D8">
        <w:rPr>
          <w:rFonts w:ascii="Verdana" w:hAnsi="Verdana" w:hint="eastAsia"/>
          <w:sz w:val="18"/>
        </w:rPr>
        <w:t>ИНН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4401116480</w:t>
      </w:r>
    </w:p>
    <w:p w14:paraId="64530414" w14:textId="77777777" w:rsidR="00F95040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781D47"/>
    <w:rsid w:val="007D0465"/>
    <w:rsid w:val="008E1E8D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2024-11-15T07:15:00Z</cp:lastPrinted>
  <dcterms:created xsi:type="dcterms:W3CDTF">2020-05-14T09:46:00Z</dcterms:created>
  <dcterms:modified xsi:type="dcterms:W3CDTF">2025-10-02T11:33:00Z</dcterms:modified>
</cp:coreProperties>
</file>