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A77783D" w:rsidR="00DC029B" w:rsidRPr="00F913FE" w:rsidRDefault="008217B1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Юрина Ирина Юрьевна</w:t>
      </w:r>
      <w:r w:rsidRPr="008217B1">
        <w:rPr>
          <w:color w:val="000000"/>
          <w:sz w:val="24"/>
          <w:szCs w:val="24"/>
          <w:shd w:val="clear" w:color="auto" w:fill="FFFFFF"/>
          <w:lang w:eastAsia="ru-RU"/>
        </w:rPr>
        <w:t xml:space="preserve"> (ИНН 650113971795, СНИЛС 064-761-641-78, дата рождения: 22.01.1981 место рождения: гор. Южно-Сахалинск, адрес регистрации: Краснодарский край, г. Новоросс</w:t>
      </w:r>
      <w:r>
        <w:rPr>
          <w:color w:val="000000"/>
          <w:sz w:val="24"/>
          <w:szCs w:val="24"/>
          <w:shd w:val="clear" w:color="auto" w:fill="FFFFFF"/>
          <w:lang w:eastAsia="ru-RU"/>
        </w:rPr>
        <w:t>ийск, ул. Южная, ж. 13, кв. 62)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8217B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02.08.2024 г. (резолютивная часть объявлена 18.07.2024 г., опубликовано 07.08.2024 г.) по делу № А32-28624/2024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2C68D45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8217B1" w:rsidRPr="008217B1">
        <w:rPr>
          <w:color w:val="000000"/>
          <w:sz w:val="24"/>
          <w:szCs w:val="24"/>
          <w:lang w:eastAsia="ru-RU"/>
        </w:rPr>
        <w:t>Юрина Ирина Юрьевна, ИНН 650113971795, р/с 40817810950206335291, ФИЛИАЛ "ЦЕНТРАЛЬНЫЙ" ПАО "СОВКОМБАНК", БИК 045004763,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8AFC7" w14:textId="3B449ACA" w:rsidR="004504F1" w:rsidRDefault="008217B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Юрина Ирина Юрьевна</w:t>
            </w:r>
            <w:r w:rsidRPr="008217B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650113971795, СНИЛС 064-761-641-78, дата рождения: 22.01.1981 место рождения: гор. Южно-Сахалинск, адрес регистрации: Краснодарский край, г. Новоросс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ийск, ул. Южная, ж. 13, кв. 62)</w:t>
            </w:r>
          </w:p>
          <w:p w14:paraId="51F3156B" w14:textId="77777777" w:rsidR="008217B1" w:rsidRDefault="008217B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ABF5139" w:rsidR="003628B2" w:rsidRPr="001529EF" w:rsidRDefault="008217B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217B1">
              <w:rPr>
                <w:color w:val="000000"/>
                <w:sz w:val="24"/>
                <w:szCs w:val="24"/>
                <w:lang w:eastAsia="ru-RU"/>
              </w:rPr>
              <w:t>Юрина Ирина Юрьевна, ИНН 650113971795, р/с 40817810950206335291, ФИЛИАЛ "ЦЕНТРАЛЬНЫЙ" ПАО "СОВКОМБАНК", БИК 045004763,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CEF39E4" w:rsidR="00DC029B" w:rsidRPr="0062290E" w:rsidRDefault="008217B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Юрина Ирина Юрьевна</w:t>
      </w:r>
      <w:r w:rsidRPr="008217B1">
        <w:rPr>
          <w:color w:val="000000"/>
          <w:sz w:val="24"/>
          <w:szCs w:val="24"/>
          <w:shd w:val="clear" w:color="auto" w:fill="FFFFFF"/>
          <w:lang w:eastAsia="ru-RU"/>
        </w:rPr>
        <w:t xml:space="preserve"> (ИНН 650113971795, СНИЛС 064-761-641-78, дата рождения: 22.01.1981 место рождения: гор. Южно-Сахалинск, адрес регистрации: Краснодарский край, г. Новоросс</w:t>
      </w:r>
      <w:r>
        <w:rPr>
          <w:color w:val="000000"/>
          <w:sz w:val="24"/>
          <w:szCs w:val="24"/>
          <w:shd w:val="clear" w:color="auto" w:fill="FFFFFF"/>
          <w:lang w:eastAsia="ru-RU"/>
        </w:rPr>
        <w:t>ийск, ул. Южная, ж. 13, кв. 62)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8217B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02.08.2024 г. (резолютивная часть объявлена 18.07.2024 г., опубликовано 07.08.2024 г.) по делу № А32-28624/2024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217B1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95D516" w14:textId="77777777" w:rsidR="008217B1" w:rsidRDefault="008217B1" w:rsidP="00821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Юрина Ирина Юрьевна</w:t>
            </w:r>
            <w:r w:rsidRPr="008217B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650113971795, СНИЛС 064-761-641-78, дата рождения: 22.01.1981 место рождения: гор. Южно-Сахалинск, адрес регистрации: Краснодарский край, г. Новоросс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ийск, ул. Южная, ж. 13, кв. 62)</w:t>
            </w:r>
          </w:p>
          <w:p w14:paraId="4E1C8A47" w14:textId="77777777" w:rsidR="008217B1" w:rsidRDefault="008217B1" w:rsidP="00821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F1A51A" w14:textId="77777777" w:rsidR="008217B1" w:rsidRPr="001529EF" w:rsidRDefault="008217B1" w:rsidP="00821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4C57B215" w:rsidR="008217B1" w:rsidRPr="009F498D" w:rsidRDefault="008217B1" w:rsidP="00821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217B1">
              <w:rPr>
                <w:color w:val="000000"/>
                <w:sz w:val="24"/>
                <w:szCs w:val="24"/>
                <w:lang w:eastAsia="ru-RU"/>
              </w:rPr>
              <w:t>Юрина Ирина Юрьевна, ИНН 650113971795, р/с 40817810950206335291, ФИЛИАЛ "ЦЕНТРАЛЬНЫЙ" ПАО "СОВКОМБАНК", БИК 045004763,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8217B1" w:rsidRPr="0062290E" w:rsidRDefault="008217B1" w:rsidP="00821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6DA4A" w14:textId="77777777" w:rsidR="00046D18" w:rsidRDefault="00046D18">
      <w:r>
        <w:separator/>
      </w:r>
    </w:p>
  </w:endnote>
  <w:endnote w:type="continuationSeparator" w:id="0">
    <w:p w14:paraId="434EEE31" w14:textId="77777777" w:rsidR="00046D18" w:rsidRDefault="0004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83BEC" w14:textId="77777777" w:rsidR="00046D18" w:rsidRDefault="00046D18">
      <w:r>
        <w:separator/>
      </w:r>
    </w:p>
  </w:footnote>
  <w:footnote w:type="continuationSeparator" w:id="0">
    <w:p w14:paraId="147F2C70" w14:textId="77777777" w:rsidR="00046D18" w:rsidRDefault="0004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6D18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52</cp:revision>
  <dcterms:created xsi:type="dcterms:W3CDTF">2021-12-15T09:44:00Z</dcterms:created>
  <dcterms:modified xsi:type="dcterms:W3CDTF">2025-12-03T15:23:00Z</dcterms:modified>
</cp:coreProperties>
</file>