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</w:tblPr>
      <w:tblGrid>
        <w:gridCol w:w="6095"/>
      </w:tblGrid>
      <w:tr>
        <w:trPr>
          <w:trHeight w:val="1126"/>
        </w:trPr>
        <w:tc>
          <w:tcPr>
            <w:tcW w:w="609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Ханты-Мансийского автономного округа</w:t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Тремасовой Регины Алексеевны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UserStyle_0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</w:p>
    <w:p>
      <w:pPr>
        <w:pStyle w:val="UserStyle_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Тремасовой Регины Алексеевны</w:t>
      </w:r>
      <w:r>
        <w:rPr>
          <w:b/>
          <w:sz w:val="24"/>
          <w:szCs w:val="24"/>
        </w:rPr>
      </w:r>
    </w:p>
    <w:p>
      <w:pPr>
        <w:pStyle w:val="UserStyle_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20.</w:t>
      </w:r>
      <w:r>
        <w:rPr>
          <w:sz w:val="24"/>
          <w:szCs w:val="24"/>
        </w:rPr>
        <w:t xml:space="preserve">06.1987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гор.Нефтеюганск Тюменской области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124-269-049 47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861903206325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628320, Ханты-Мансийский автономный округ - Югра, поселок Сингапай, ул Центральная, д 18, кв 18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1.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Сведения об имуществе и порядке ознакомления</w:t>
            </w:r>
            <w:r>
              <w:t xml:space="preserve"> с ним</w:t>
            </w:r>
          </w:p>
        </w:tc>
        <w:tc>
          <w:tcPr>
            <w:tcW w:w="7059" w:type="dxa"/>
            <w:textDirection w:val="lrTb"/>
            <w:vAlign w:val="top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603" w:type="dxa"/>
                  <w:textDirection w:val="lrTb"/>
                  <w:vAlign w:val="top"/>
                </w:tcPr>
                <w:p>
                  <w:pPr>
                    <w:pStyle w:val="Normal"/>
                    <w:jc w:val="center"/>
                  </w:pPr>
                  <w:r>
                    <w:t xml:space="preserve">№ лота</w:t>
                  </w:r>
                </w:p>
              </w:tc>
              <w:tc>
                <w:tcPr>
                  <w:tcW w:w="3474" w:type="dxa"/>
                  <w:textDirection w:val="lrTb"/>
                  <w:vAlign w:val="top"/>
                </w:tcPr>
                <w:p>
                  <w:pPr>
                    <w:pStyle w:val="Normal"/>
                    <w:jc w:val="center"/>
                  </w:pPr>
                  <w:r>
                    <w:t xml:space="preserve">Описание, характеристика имущества</w:t>
                  </w:r>
                </w:p>
              </w:tc>
              <w:tc>
                <w:tcPr>
                  <w:tcW w:w="1217" w:type="dxa"/>
                  <w:textDirection w:val="lrTb"/>
                  <w:vAlign w:val="top"/>
                </w:tcPr>
                <w:p>
                  <w:pPr>
                    <w:pStyle w:val="Normal"/>
                    <w:jc w:val="center"/>
                  </w:pPr>
                  <w:r>
                    <w:t xml:space="preserve">Количество</w:t>
                  </w:r>
                </w:p>
              </w:tc>
              <w:tc>
                <w:tcPr>
                  <w:tcW w:w="1539" w:type="dxa"/>
                  <w:textDirection w:val="lrTb"/>
                  <w:vAlign w:val="top"/>
                </w:tcPr>
                <w:p>
                  <w:pPr>
                    <w:pStyle w:val="Normal"/>
                    <w:jc w:val="center"/>
                  </w:pPr>
                  <w:r>
                    <w:t xml:space="preserve">Начальная цена, руб.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c>
                <w:tcPr>
                  <w:tcW w:w="603" w:type="dxa"/>
                  <w:textDirection w:val="lrTb"/>
                  <w:vAlign w:val="top"/>
                </w:tcPr>
                <w:p>
                  <w:pPr>
                    <w:pStyle w:val="Normal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3474" w:type="dxa"/>
                  <w:textDirection w:val="lrTb"/>
                  <w:vAlign w:val="top"/>
                </w:tcPr>
                <w:p>
                  <w:pPr>
                    <w:pStyle w:val="Normal"/>
                    <w:jc w:val="center"/>
                  </w:pPr>
                  <w:r>
                    <w:t xml:space="preserve">½</w:t>
                  </w:r>
                  <w:r>
                    <w:t xml:space="preserve"> </w:t>
                  </w:r>
                  <w:r>
                    <w:t xml:space="preserve">земельного участка, находящего</w:t>
                  </w:r>
                  <w:r>
                    <w:t xml:space="preserve">ся в общей </w:t>
                  </w:r>
                  <w:r>
                    <w:t xml:space="preserve">долевой с</w:t>
                  </w:r>
                  <w:r>
                    <w:t xml:space="preserve">обственности</w:t>
                  </w:r>
                  <w:r>
                    <w:t xml:space="preserve">, </w:t>
                  </w:r>
                  <w:r>
                    <w:t xml:space="preserve">Местоположение установлено относительно ориентира, расположенного за пределами участка. Почтовый адрес ориентира: ХантыМансийский автономный округ - Югра, Нефтеюганский</w:t>
                  </w:r>
                  <w:r>
                    <w:t xml:space="preserve"> район, остров "Безымянный", СНТ "Озон", участок № 134.</w:t>
                  </w:r>
                  <w:r>
                    <w:t xml:space="preserve">, общей площадью 1450 кв.м, с кадастровым номером </w:t>
                  </w:r>
                  <w:r>
                    <w:t xml:space="preserve">86:08:0020801:11266</w:t>
                  </w:r>
                </w:p>
              </w:tc>
              <w:tc>
                <w:tcPr>
                  <w:tcW w:w="1217" w:type="dxa"/>
                  <w:textDirection w:val="lrTb"/>
                  <w:vAlign w:val="top"/>
                </w:tcPr>
                <w:p>
                  <w:pPr>
                    <w:pStyle w:val="Normal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1539" w:type="dxa"/>
                  <w:textDirection w:val="lrTb"/>
                  <w:vAlign w:val="top"/>
                </w:tcPr>
                <w:p>
                  <w:pPr>
                    <w:pStyle w:val="Normal"/>
                    <w:jc w:val="center"/>
                  </w:pPr>
                  <w:r>
                    <w:t xml:space="preserve">136000 рублей</w:t>
                  </w:r>
                </w:p>
              </w:tc>
            </w:tr>
          </w:tbl>
          <w:p>
            <w:pPr>
              <w:pStyle w:val="Normal"/>
            </w:pPr>
            <w:r>
              <w:t xml:space="preserve">Ознакомление с имуществом производится по адресу: </w:t>
            </w:r>
            <w:r>
              <w:t xml:space="preserve">Местоположение установлено относительно ориентира, расположенного за пределами участка. Почтовый адрес ориентира: ХантыМансийский автономный округ - Югра, Нефтеюганский район, остров "Безымянный", СНТ "Озон", участок № 134</w:t>
            </w:r>
            <w:r>
              <w:t xml:space="preserve">, с момента публикации сообщ</w:t>
            </w:r>
            <w:r>
              <w:t xml:space="preserve">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2.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Сроки продажи имущества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3.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Организатор торгов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Финансовый управляющий </w:t>
            </w:r>
            <w:r>
              <w:t xml:space="preserve">Тремасовой Регины Алексеевны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Ханты-Мансийского автономного округа от 10.02.2025 г. по делу № А75-25199/2024</w:t>
            </w:r>
          </w:p>
          <w:p>
            <w:pPr>
              <w:pStyle w:val="Normal"/>
            </w:pPr>
            <w:r>
              <w:t xml:space="preserve">Организатор торгов выполняет следующие функции:</w:t>
            </w:r>
          </w:p>
          <w:p>
            <w:pPr>
              <w:pStyle w:val="Normal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</w:p>
          <w:p>
            <w:pPr>
              <w:pStyle w:val="Normal"/>
            </w:pPr>
            <w:r>
              <w:t xml:space="preserve">- определяет участников торгов;</w:t>
            </w:r>
          </w:p>
          <w:p>
            <w:pPr>
              <w:pStyle w:val="Normal"/>
            </w:pPr>
            <w:r>
              <w:t xml:space="preserve">- определяет победителя торгов и подписывает протокол о результатах проведения торгов;</w:t>
            </w:r>
          </w:p>
          <w:p>
            <w:pPr>
              <w:pStyle w:val="Normal"/>
              <w:rPr>
                <w:lang w:val="en-US"/>
              </w:rPr>
            </w:pPr>
            <w:r>
              <w:t xml:space="preserve">- уведомл</w:t>
            </w:r>
            <w:r>
              <w:t xml:space="preserve">яет заявителей и участников торгов</w:t>
            </w:r>
            <w:r>
              <w:t xml:space="preserve"> о результатах проведения торгов.</w:t>
            </w:r>
            <w:r>
              <w:rPr>
                <w:lang w:val="en-US"/>
              </w:rPr>
            </w:r>
          </w:p>
          <w:p>
            <w:pPr>
              <w:pStyle w:val="Normal"/>
            </w:pPr>
            <w:r>
              <w:t xml:space="preserve">Сведения об организаторе торгов:</w:t>
            </w:r>
          </w:p>
          <w:p>
            <w:pPr>
              <w:pStyle w:val="Normal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</w:p>
          <w:p>
            <w:pPr>
              <w:pStyle w:val="Normal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</w:p>
          <w:p>
            <w:pPr>
              <w:pStyle w:val="Normal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</w:t>
            </w:r>
            <w:r>
              <w:t xml:space="preserve">1050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4.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Форма торгов и форма представления предложений о цене имущества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5.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Место проведения торгов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6.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Размер задатка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Лот № 1: </w:t>
            </w:r>
            <w:r>
              <w:t xml:space="preserve">10 %</w:t>
            </w:r>
          </w:p>
          <w:p>
            <w:pPr>
              <w:pStyle w:val="Normal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7.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Срок и порядок внесения задатка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</w:p>
          <w:p>
            <w:pPr>
              <w:pStyle w:val="Normal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</w:p>
          <w:p>
            <w:pPr>
              <w:pStyle w:val="Normal"/>
            </w:pPr>
            <w:r>
              <w:t xml:space="preserve">Валюта получаемого перевода: Российский рубль (RUB)</w:t>
            </w:r>
          </w:p>
          <w:p>
            <w:pPr>
              <w:pStyle w:val="Normal"/>
            </w:pPr>
            <w:r>
              <w:t xml:space="preserve">Получатель:Тремасова Регина Алексеевна</w:t>
            </w:r>
          </w:p>
          <w:p>
            <w:pPr>
              <w:pStyle w:val="Normal"/>
            </w:pPr>
            <w:r>
              <w:t xml:space="preserve">Номер счёта: 40817810004002050696</w:t>
            </w:r>
          </w:p>
          <w:p>
            <w:pPr>
              <w:pStyle w:val="Normal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</w:p>
          <w:p>
            <w:pPr>
              <w:pStyle w:val="Normal"/>
            </w:pPr>
            <w:r>
              <w:t xml:space="preserve">БИК: 041117601</w:t>
            </w:r>
          </w:p>
          <w:p>
            <w:pPr>
              <w:pStyle w:val="Normal"/>
            </w:pPr>
            <w:r>
              <w:t xml:space="preserve">Корр. счёт: 30101810100000000601</w:t>
            </w:r>
          </w:p>
          <w:p>
            <w:pPr>
              <w:pStyle w:val="Normal"/>
            </w:pPr>
            <w:r>
              <w:t xml:space="preserve">ИНН: 7707083893</w:t>
            </w:r>
          </w:p>
          <w:p>
            <w:pPr>
              <w:pStyle w:val="Normal"/>
            </w:pPr>
            <w:r>
              <w:t xml:space="preserve">КПП: 290102001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8.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Шаг аукциона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Лот № 1: </w:t>
            </w:r>
            <w:r>
              <w:t xml:space="preserve">10 %</w:t>
            </w:r>
          </w:p>
          <w:p>
            <w:pPr>
              <w:pStyle w:val="Normal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9.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Сообщение о продаже имущества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</w:p>
          <w:p>
            <w:pPr>
              <w:pStyle w:val="Normal"/>
            </w:pPr>
            <w:r>
              <w:t xml:space="preserve">Текст сообщения должен содержать следующие сведения:</w:t>
            </w:r>
          </w:p>
          <w:p>
            <w:pPr>
              <w:pStyle w:val="Normal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</w:p>
          <w:p>
            <w:pPr>
              <w:pStyle w:val="Normal"/>
            </w:pPr>
            <w:r>
              <w:t xml:space="preserve">сведения о форме проведения торгов и форме представления предложений о цене имущества;</w:t>
            </w:r>
          </w:p>
          <w:p>
            <w:pPr>
              <w:pStyle w:val="Normal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</w:p>
          <w:p>
            <w:pPr>
              <w:pStyle w:val="Normal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>
            <w:pPr>
              <w:pStyle w:val="Normal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</w:p>
          <w:p>
            <w:pPr>
              <w:pStyle w:val="Normal"/>
            </w:pPr>
            <w:r>
              <w:t xml:space="preserve">начальная цена продажи имущества;</w:t>
            </w:r>
          </w:p>
          <w:p>
            <w:pPr>
              <w:pStyle w:val="Normal"/>
            </w:pPr>
            <w:r>
              <w:t xml:space="preserve">величина повышения начальной цены продажи имущества ("шаг аукциона");</w:t>
            </w:r>
          </w:p>
          <w:p>
            <w:pPr>
              <w:pStyle w:val="Normal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</w:p>
          <w:p>
            <w:pPr>
              <w:pStyle w:val="Normal"/>
            </w:pPr>
            <w:r>
              <w:t xml:space="preserve">дата, время и место подведения результатов торгов;</w:t>
            </w:r>
          </w:p>
          <w:p>
            <w:pPr>
              <w:pStyle w:val="Normal"/>
            </w:pPr>
            <w:r>
              <w:t xml:space="preserve">порядок и срок заключения договора купли-продажи имущества;</w:t>
            </w:r>
          </w:p>
          <w:p>
            <w:pPr>
              <w:pStyle w:val="Normal"/>
            </w:pPr>
            <w:r>
              <w:t xml:space="preserve">сроки платежей, реквизиты счетов, на которые вносятся платежи;</w:t>
            </w:r>
          </w:p>
          <w:p>
            <w:pPr>
              <w:pStyle w:val="Normal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10.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Заявка на участие в торгах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</w:p>
          <w:p>
            <w:pPr>
              <w:pStyle w:val="Normal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</w:p>
          <w:p>
            <w:pPr>
              <w:pStyle w:val="Normal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</w:p>
          <w:p>
            <w:pPr>
              <w:pStyle w:val="Normal"/>
            </w:pPr>
            <w:r>
              <w:t xml:space="preserve">в) номер контактного телефона, адрес электронной почты заявителя; </w:t>
            </w:r>
          </w:p>
          <w:p>
            <w:pPr>
              <w:pStyle w:val="Normal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>
            <w:pPr>
              <w:pStyle w:val="Normal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>
            <w:pPr>
              <w:pStyle w:val="Normal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</w:p>
          <w:p>
            <w:pPr>
              <w:pStyle w:val="Normal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>
            <w:pPr>
              <w:pStyle w:val="Normal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>
            <w:pPr>
              <w:pStyle w:val="Normal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11.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12.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Определение участников торгов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>
            <w:pPr>
              <w:pStyle w:val="Normal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>
            <w:pPr>
              <w:pStyle w:val="Normal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>
            <w:pPr>
              <w:pStyle w:val="Normal"/>
            </w:pPr>
            <w:r>
      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>
            <w:pPr>
              <w:pStyle w:val="Normal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</w:p>
          <w:p>
            <w:pPr>
              <w:pStyle w:val="Normal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</w:p>
          <w:p>
            <w:pPr>
              <w:pStyle w:val="Normal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</w:p>
          <w:p>
            <w:pPr>
              <w:pStyle w:val="Normal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13.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Порядок проведения торгов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>
            <w:pPr>
              <w:pStyle w:val="Normal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>
            <w:pPr>
              <w:pStyle w:val="Normal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</w:p>
          <w:p>
            <w:pPr>
              <w:pStyle w:val="Normal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</w:p>
          <w:p>
            <w:pPr>
              <w:pStyle w:val="Normal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>
            <w:pPr>
              <w:pStyle w:val="Normal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>
            <w:pPr>
              <w:pStyle w:val="Normal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</w:p>
          <w:p>
            <w:pPr>
              <w:pStyle w:val="Normal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>
            <w:pPr>
              <w:pStyle w:val="Normal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</w:p>
          <w:p>
            <w:pPr>
              <w:pStyle w:val="Normal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14.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Подведение результатов торгов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>
            <w:pPr>
              <w:pStyle w:val="Normal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</w:p>
          <w:p>
            <w:pPr>
              <w:pStyle w:val="Normal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</w:p>
          <w:p>
            <w:pPr>
              <w:pStyle w:val="Normal"/>
            </w:pPr>
            <w: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>
            <w:pPr>
              <w:pStyle w:val="Normal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</w:p>
          <w:p>
            <w:pPr>
              <w:pStyle w:val="Normal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>
            <w:pPr>
              <w:pStyle w:val="Normal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</w:p>
          <w:p>
            <w:pPr>
              <w:pStyle w:val="Normal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</w:p>
          <w:p>
            <w:pPr>
              <w:pStyle w:val="Normal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>
            <w:pPr>
              <w:pStyle w:val="Normal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</w:p>
          <w:p>
            <w:pPr>
              <w:pStyle w:val="Normal"/>
            </w:pPr>
            <w:r>
              <w:t xml:space="preserve">Не позднее тридцати ми</w:t>
            </w:r>
            <w:r>
              <w:t xml:space="preserve">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>
            <w:pPr>
              <w:pStyle w:val="Normal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Порядок и срок заключения договора купли-продажи имущества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>
            <w:pPr>
              <w:pStyle w:val="Normal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>
            <w:pPr>
              <w:pStyle w:val="Normal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Условия возврата задатка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Условия оплаты имущества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>
            <w:pPr>
              <w:pStyle w:val="Normal"/>
            </w:pPr>
            <w:r>
              <w:t xml:space="preserve">Валюта получаемого перевода: Российский рубль (RUB)</w:t>
            </w:r>
          </w:p>
          <w:p>
            <w:pPr>
              <w:pStyle w:val="Normal"/>
            </w:pPr>
            <w:r>
              <w:t xml:space="preserve">Получатель:Тремасова Регина Алексеевна</w:t>
            </w:r>
          </w:p>
          <w:p>
            <w:pPr>
              <w:pStyle w:val="Normal"/>
            </w:pPr>
            <w:r>
              <w:t xml:space="preserve">Номер счёта: 40817810004002050696</w:t>
            </w:r>
          </w:p>
          <w:p>
            <w:pPr>
              <w:pStyle w:val="Normal"/>
            </w:pPr>
            <w:r>
              <w:t xml:space="preserve">Банк получателя: АРХАНГЕЛЬСКОЕ ОТДЕЛЕНИЕ N 8637 ПАО СБЕРБАНК</w:t>
            </w:r>
          </w:p>
          <w:p>
            <w:pPr>
              <w:pStyle w:val="Normal"/>
            </w:pPr>
            <w:r>
              <w:t xml:space="preserve">БИК: 041117601</w:t>
            </w:r>
          </w:p>
          <w:p>
            <w:pPr>
              <w:pStyle w:val="Normal"/>
            </w:pPr>
            <w:r>
              <w:t xml:space="preserve">Корр. счёт: 30101810100000000601</w:t>
            </w:r>
          </w:p>
          <w:p>
            <w:pPr>
              <w:pStyle w:val="Normal"/>
            </w:pPr>
            <w:r>
              <w:t xml:space="preserve">ИНН: 7707083893</w:t>
            </w:r>
          </w:p>
          <w:p>
            <w:pPr>
              <w:pStyle w:val="Normal"/>
            </w:pPr>
            <w:r>
              <w:t xml:space="preserve">КПП: 290102001</w:t>
            </w:r>
          </w:p>
          <w:p>
            <w:pPr>
              <w:pStyle w:val="Normal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Оформление договора купли-продажи имущества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Обязательными условиями договора купли-продажи имущества являются:</w:t>
            </w:r>
          </w:p>
          <w:p>
            <w:pPr>
              <w:pStyle w:val="Normal"/>
            </w:pPr>
            <w:r>
              <w:t xml:space="preserve">сведения об имуществе, его составе, характеристиках, описание имущества;</w:t>
            </w:r>
          </w:p>
          <w:p>
            <w:pPr>
              <w:pStyle w:val="Normal"/>
            </w:pPr>
            <w:r>
              <w:t xml:space="preserve">цена продажи имущества;</w:t>
            </w:r>
          </w:p>
          <w:p>
            <w:pPr>
              <w:pStyle w:val="Normal"/>
            </w:pPr>
            <w:r>
              <w:t xml:space="preserve">порядок и срок передачи имущества покупателю;</w:t>
            </w:r>
          </w:p>
          <w:p>
            <w:pPr>
              <w:pStyle w:val="Normal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</w:p>
          <w:p>
            <w:pPr>
              <w:pStyle w:val="Normal"/>
            </w:pPr>
            <w:r>
              <w:t xml:space="preserve">иные предусмотренные законодательством Российской Федерации условия.</w:t>
            </w:r>
          </w:p>
          <w:p>
            <w:pPr>
              <w:pStyle w:val="Normal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Hyperlink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Проведение повторных торгов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</w:p>
          <w:p>
            <w:pPr>
              <w:pStyle w:val="Normal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</w:p>
          <w:p>
            <w:pPr>
              <w:pStyle w:val="Normal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66" w:type="dxa"/>
            <w:textDirection w:val="lrTb"/>
            <w:vAlign w:val="top"/>
          </w:tcPr>
          <w:p>
            <w:pPr>
              <w:pStyle w:val="Normal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</w:p>
        </w:tc>
        <w:tc>
          <w:tcPr>
            <w:tcW w:w="2046" w:type="dxa"/>
            <w:textDirection w:val="lrTb"/>
            <w:vAlign w:val="top"/>
          </w:tcPr>
          <w:p>
            <w:pPr>
              <w:pStyle w:val="Normal"/>
            </w:pPr>
            <w:r>
              <w:t xml:space="preserve">Продажа имущества посредством публичного предложения</w:t>
            </w:r>
          </w:p>
        </w:tc>
        <w:tc>
          <w:tcPr>
            <w:tcW w:w="7059" w:type="dxa"/>
            <w:textDirection w:val="lrTb"/>
            <w:vAlign w:val="top"/>
          </w:tcPr>
          <w:p>
            <w:pPr>
              <w:pStyle w:val="Normal"/>
            </w:pPr>
            <w:r>
              <w:t xml:space="preserve"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>
            <w:pPr>
              <w:pStyle w:val="Normal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>
            <w:pPr>
              <w:pStyle w:val="Normal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>
            <w:pPr>
              <w:pStyle w:val="Normal"/>
            </w:pPr>
            <w:r>
              <w:t xml:space="preserve">Величина снижения начальной цены продажи имущества должника - 10 %.</w:t>
            </w:r>
          </w:p>
          <w:p>
            <w:pPr>
              <w:pStyle w:val="Normal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>
            <w:pPr>
              <w:pStyle w:val="Normal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>
            <w:pPr>
              <w:pStyle w:val="Normal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>
            <w:pPr>
              <w:pStyle w:val="Normal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>
            <w:pPr>
              <w:pStyle w:val="Normal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>
            <w:pPr>
              <w:pStyle w:val="Normal"/>
            </w:pPr>
            <w:r>
      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>
            <w:pPr>
              <w:pStyle w:val="Normal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</w:p>
          <w:p>
            <w:pPr>
              <w:pStyle w:val="Normal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</w:p>
          <w:p>
            <w:pPr>
              <w:pStyle w:val="Normal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</w:p>
          <w:p>
            <w:pPr>
              <w:pStyle w:val="Normal"/>
            </w:pPr>
            <w:r>
              <w:t xml:space="preserve">окончания периода проведения торгов.</w:t>
            </w:r>
          </w:p>
          <w:p>
            <w:pPr>
              <w:pStyle w:val="Normal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>
            <w:pPr>
              <w:pStyle w:val="Normal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</w:p>
          <w:p>
            <w:pPr>
              <w:pStyle w:val="Normal"/>
            </w:pPr>
            <w:r>
              <w:t xml:space="preserve">окончания периода проведения торгов.</w:t>
            </w:r>
          </w:p>
          <w:p>
            <w:pPr>
              <w:pStyle w:val="Normal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>
            <w:pPr>
              <w:pStyle w:val="Normal"/>
            </w:pPr>
            <w:r>
              <w:t xml:space="preserve"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</w:p>
          <w:p>
            <w:pPr>
              <w:pStyle w:val="Normal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>
            <w:pPr>
              <w:pStyle w:val="Normal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>
            <w:pPr>
              <w:pStyle w:val="Normal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>
            <w:pPr>
              <w:pStyle w:val="Normal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>
            <w:pPr>
              <w:pStyle w:val="Normal"/>
            </w:pPr>
            <w:r>
              <w:t xml:space="preserve"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>
      <w:pPr>
        <w:pStyle w:val="Normal"/>
      </w:pPr>
    </w:p>
    <w:p>
      <w:pPr>
        <w:pStyle w:val="Normal"/>
        <w:jc w:val="both"/>
      </w:pPr>
    </w:p>
    <w:p>
      <w:pPr>
        <w:pStyle w:val="Normal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</w:t>
      </w:r>
      <w:r>
        <w:t xml:space="preserve">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>
      <w:pPr>
        <w:pStyle w:val="UserStyle_1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rPr>
          <w:tblCellSpacing w:w="0" w:type="dxa"/>
        </w:trPr>
        <w:tc>
          <w:tcPr>
            <w:tcW w:w="2484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</w:pPr>
          </w:p>
          <w:p>
            <w:pPr>
              <w:pStyle w:val="Normal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Тремасовой Регины Алексеевны</w:t>
            </w:r>
          </w:p>
        </w:tc>
        <w:tc>
          <w:tcPr>
            <w:tcW w:w="6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</w:pPr>
            <w:r>
              <w:t xml:space="preserve"> </w:t>
            </w:r>
          </w:p>
        </w:tc>
        <w:tc>
          <w:tcPr>
            <w:tcW w:w="2484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tml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</w:pPr>
    </w:p>
    <w:sectPr>
      <w:type w:val="next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Обычный1"/>
    <w:next w:val="UserStyle_0"/>
    <w:link w:val="Normal"/>
    <w:rPr>
      <w:rFonts w:ascii="Times New Roman" w:hAnsi="Times New Roman" w:eastAsia="Times New Roman"/>
      <w:lang w:val="ru-RU" w:eastAsia="ru-RU" w:bidi="ar-SA"/>
    </w:rPr>
  </w:style>
  <w:style w:type="table" w:styleId="TableGrid">
    <w:name w:val="Сетка таблицы"/>
    <w:basedOn w:val="TableNormal"/>
    <w:next w:val="TableGrid"/>
    <w:link w:val="Normal"/>
    <w:uiPriority w:val="59"/>
    <w:pPr>
      <w:spacing w:after="0" w:line="240" w:lineRule="auto"/>
    </w:pPr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  <w:style w:type="paragraph" w:styleId="UserStyle_1">
    <w:name w:val="ConsPlusNonformat"/>
    <w:next w:val="UserStyle_1"/>
    <w:link w:val="Normal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HtmlNormal">
    <w:name w:val="Обычный (веб)"/>
    <w:basedOn w:val="Normal"/>
    <w:next w:val="HtmlNormal"/>
    <w:link w:val="Normal"/>
    <w:pPr>
      <w:widowControl/>
      <w:spacing w:before="240" w:after="240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21603</Characters>
  <CharactersWithSpaces>25342</CharactersWithSpaces>
  <DocSecurity>0</DocSecurity>
  <HyperlinksChanged>false</HyperlinksChanged>
  <Lines>180</Lines>
  <Pages>7</Pages>
  <Paragraphs>50</Paragraphs>
  <ScaleCrop>false</ScaleCrop>
  <SharedDoc>false</SharedDoc>
  <Template>Normal</Template>
  <Words>3789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2</cp:revision>
  <dcterms:created xsi:type="dcterms:W3CDTF">2025-08-26T11:30:00Z</dcterms:created>
  <dcterms:modified xsi:type="dcterms:W3CDTF">2025-08-26T11:30:00Z</dcterms:modified>
  <cp:version>1048576</cp:version>
</cp:coreProperties>
</file>