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>
        <w:tblPrEx/>
        <w:trPr>
          <w:jc w:val="right"/>
          <w:trHeight w:val="1126"/>
        </w:trPr>
        <w:tc>
          <w:tcPr>
            <w:tcW w:w="6095" w:type="dxa"/>
            <w:textDirection w:val="lrTb"/>
            <w:noWrap w:val="false"/>
          </w:tcPr>
          <w:p>
            <w:pPr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Краснодарского края</w:t>
            </w:r>
            <w:r>
              <w:rPr>
                <w:i/>
                <w:sz w:val="24"/>
                <w:szCs w:val="24"/>
              </w:rPr>
            </w:r>
          </w:p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Носова Виталия Геннадьевича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Газизовой Натальи Андреевны</w:t>
            </w:r>
            <w:r>
              <w:rPr>
                <w:sz w:val="24"/>
                <w:szCs w:val="24"/>
              </w:rPr>
            </w:r>
          </w:p>
          <w:p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2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</w:p>
    <w:p>
      <w:pPr>
        <w:pStyle w:val="62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Носова Виталия Геннадьевича</w:t>
      </w:r>
      <w:r>
        <w:rPr>
          <w:b/>
          <w:sz w:val="24"/>
          <w:szCs w:val="24"/>
        </w:rPr>
      </w:r>
    </w:p>
    <w:p>
      <w:pPr>
        <w:pStyle w:val="62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14.08.1981</w:t>
      </w:r>
      <w:r>
        <w:rPr>
          <w:sz w:val="24"/>
          <w:szCs w:val="24"/>
        </w:rPr>
        <w:t xml:space="preserve">, место рождения: </w:t>
      </w:r>
      <w:r>
        <w:rPr>
          <w:sz w:val="24"/>
          <w:szCs w:val="24"/>
        </w:rPr>
        <w:t xml:space="preserve">пос. Хурдалан Апшеронского р-на Респ. Азербайджан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039-173-188 66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260600671237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352118, Краснодарский край, ст-ца Архангельская, ул Партизанская, д 47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tcW w:w="7059" w:type="dxa"/>
            <w:textDirection w:val="lrTb"/>
            <w:noWrap w:val="false"/>
          </w:tcPr>
          <w:tbl>
            <w:tblPr>
              <w:tblW w:w="6833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/>
              <w:trPr/>
              <w:tc>
                <w:tcPr>
                  <w:tcW w:w="603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/>
              <w:trPr/>
              <w:tc>
                <w:tcPr>
                  <w:tcW w:w="603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t xml:space="preserve">Автомобиль марки: </w:t>
                  </w:r>
                  <w:r>
                    <w:t xml:space="preserve">ВАЗ 21099</w:t>
                  </w:r>
                  <w:r/>
                </w:p>
                <w:p>
                  <w:pPr>
                    <w:jc w:val="center"/>
                  </w:pPr>
                  <w:r>
                    <w:t xml:space="preserve">Год выпуска: </w:t>
                  </w:r>
                  <w:r>
                    <w:t xml:space="preserve">1997</w:t>
                  </w:r>
                  <w:r/>
                </w:p>
                <w:p>
                  <w:pPr>
                    <w:jc w:val="center"/>
                  </w:pPr>
                  <w:r>
                    <w:t xml:space="preserve">Государственный регистрационный знак: </w:t>
                  </w:r>
                  <w:r>
                    <w:t xml:space="preserve">Х765КМ93</w:t>
                  </w:r>
                  <w:r/>
                </w:p>
                <w:p>
                  <w:pPr>
                    <w:jc w:val="center"/>
                  </w:pPr>
                  <w:r>
                    <w:t xml:space="preserve">Идентификационный номер: </w:t>
                  </w:r>
                  <w:r>
                    <w:rPr>
                      <w:lang w:val="en-US"/>
                    </w:rPr>
                    <w:t xml:space="preserve">XTA</w:t>
                  </w:r>
                  <w:r>
                    <w:t xml:space="preserve">210990</w:t>
                  </w:r>
                  <w:r>
                    <w:rPr>
                      <w:lang w:val="en-US"/>
                    </w:rPr>
                    <w:t xml:space="preserve">V</w:t>
                  </w:r>
                  <w:r>
                    <w:t xml:space="preserve">2049336</w:t>
                  </w:r>
                  <w:r/>
                </w:p>
                <w:p>
                  <w:pPr>
                    <w:jc w:val="center"/>
                  </w:pPr>
                  <w:r>
                    <w:t xml:space="preserve">Тип ТС: седан</w:t>
                  </w:r>
                  <w:r/>
                </w:p>
                <w:p>
                  <w:pPr>
                    <w:jc w:val="center"/>
                  </w:pPr>
                  <w:r>
                    <w:t xml:space="preserve">Шасси (рама) №: отсутствует </w:t>
                  </w:r>
                  <w:r/>
                </w:p>
                <w:p>
                  <w:pPr>
                    <w:jc w:val="center"/>
                  </w:pPr>
                  <w:r>
                    <w:t xml:space="preserve">Кузов: </w:t>
                  </w:r>
                  <w:r>
                    <w:rPr>
                      <w:lang w:val="en-US"/>
                    </w:rPr>
                    <w:t xml:space="preserve">XTA</w:t>
                  </w:r>
                  <w:r>
                    <w:t xml:space="preserve">210990</w:t>
                  </w:r>
                  <w:r>
                    <w:rPr>
                      <w:lang w:val="en-US"/>
                    </w:rPr>
                    <w:t xml:space="preserve">V</w:t>
                  </w:r>
                  <w:r>
                    <w:t xml:space="preserve">2049336</w:t>
                  </w:r>
                  <w:r/>
                </w:p>
                <w:p>
                  <w:pPr>
                    <w:jc w:val="center"/>
                  </w:pPr>
                  <w:r>
                    <w:t xml:space="preserve"> Цвет кузова: </w:t>
                  </w:r>
                  <w:r>
                    <w:t xml:space="preserve">зеленый</w:t>
                  </w:r>
                  <w:r/>
                </w:p>
                <w:p>
                  <w:pPr>
                    <w:jc w:val="center"/>
                  </w:pPr>
                  <w:r>
                    <w:t xml:space="preserve">Разрешенная максимальная масса, кг: </w:t>
                  </w:r>
                  <w:r>
                    <w:t xml:space="preserve">1395</w:t>
                  </w:r>
                  <w:r/>
                </w:p>
                <w:p>
                  <w:pPr>
                    <w:jc w:val="center"/>
                  </w:pPr>
                  <w:r>
                    <w:t xml:space="preserve">Масса без нагрузки, кг: </w:t>
                  </w:r>
                  <w:r>
                    <w:t xml:space="preserve">970</w:t>
                  </w:r>
                  <w:r/>
                </w:p>
                <w:p>
                  <w:pPr>
                    <w:jc w:val="center"/>
                  </w:pPr>
                  <w:r>
                    <w:t xml:space="preserve"> </w:t>
                  </w:r>
                  <w:r/>
                </w:p>
                <w:p>
                  <w:pPr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textDirection w:val="lrTb"/>
                  <w:noWrap w:val="false"/>
                </w:tcPr>
                <w:p>
                  <w:pPr>
                    <w:jc w:val="center"/>
                  </w:pPr>
                  <w:r>
                    <w:t xml:space="preserve">73000</w:t>
                  </w:r>
                  <w:r/>
                </w:p>
              </w:tc>
            </w:tr>
          </w:tbl>
          <w:p>
            <w:r>
              <w:t xml:space="preserve">Ознакомление с имуществом производится по адресу: </w:t>
            </w:r>
            <w:r>
              <w:rPr>
                <w:sz w:val="24"/>
                <w:szCs w:val="24"/>
              </w:rPr>
              <w:t xml:space="preserve">Краснодарский край, ст-ца Архангельская, ул Партизанская, д 47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>
              <w:t xml:space="preserve">89600091050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2.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Сроки продажи имущества</w:t>
            </w:r>
            <w:r/>
          </w:p>
        </w:tc>
        <w:tc>
          <w:tcPr>
            <w:tcW w:w="7059" w:type="dxa"/>
            <w:textDirection w:val="lrTb"/>
            <w:noWrap w:val="false"/>
          </w:tcPr>
          <w:p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3.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Организатор торгов</w:t>
            </w:r>
            <w:r/>
          </w:p>
        </w:tc>
        <w:tc>
          <w:tcPr>
            <w:tcW w:w="7059" w:type="dxa"/>
            <w:textDirection w:val="lrTb"/>
            <w:noWrap w:val="false"/>
          </w:tcPr>
          <w:p>
            <w:r>
              <w:t xml:space="preserve">Финансовый управляющий </w:t>
            </w:r>
            <w:r>
              <w:t xml:space="preserve">Носова Виталия Геннадьевича</w:t>
            </w:r>
            <w:r>
              <w:t xml:space="preserve"> </w:t>
            </w:r>
            <w:r>
              <w:t xml:space="preserve">Газизова Наталья Андреевна</w:t>
            </w:r>
            <w:r>
              <w:t xml:space="preserve">, </w:t>
            </w:r>
            <w:r>
              <w:t xml:space="preserve">действующий на основании решения Арбитражного суда Краснодарского края от 08.07.2025 г. по делу № А32-18625/2025 Ф.С. Житник</w:t>
            </w:r>
            <w:r/>
          </w:p>
          <w:p>
            <w:r>
              <w:t xml:space="preserve">Организатор торгов выполняет следующие функции:</w:t>
            </w:r>
            <w:r/>
          </w:p>
          <w:p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r>
              <w:t xml:space="preserve">- определяет участников торгов;</w:t>
            </w:r>
            <w:r/>
          </w:p>
          <w:p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</w:p>
          <w:p>
            <w:r>
              <w:t xml:space="preserve">Сведения об организаторе торгов:</w:t>
            </w:r>
            <w:r/>
          </w:p>
          <w:p>
            <w:r>
              <w:t xml:space="preserve">- почтовый адрес:</w:t>
            </w:r>
            <w:r>
              <w:t xml:space="preserve"> </w:t>
            </w:r>
            <w:r>
              <w:t xml:space="preserve">163046, обл Архангельская, г Архангельск, ул Воскресенская, д 59, этаж 2</w:t>
            </w:r>
            <w:r/>
          </w:p>
          <w:p>
            <w:r>
              <w:t xml:space="preserve">- адрес электронной почты:</w:t>
            </w:r>
            <w:r>
              <w:t xml:space="preserve"> </w:t>
            </w:r>
            <w:r>
              <w:t xml:space="preserve">gazizova.natalya@internet.ru</w:t>
            </w:r>
            <w:r/>
          </w:p>
          <w:p>
            <w:r>
              <w:t xml:space="preserve">- контактный номер: </w:t>
            </w:r>
            <w:r>
              <w:t xml:space="preserve">89600091050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4.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textDirection w:val="lrTb"/>
            <w:noWrap w:val="false"/>
          </w:tcPr>
          <w:p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5.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r>
              <w:rPr>
                <w:color w:val="000000"/>
              </w:rPr>
              <w:t xml:space="preserve">Торги проводятся в электронной форме на электронной площадке «Новые информационные сервисы», размещенной на сайте https://nistp.ru/ в сети Интернет.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6.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Размер задатка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r>
              <w:rPr>
                <w:color w:val="000000"/>
              </w:rPr>
              <w:t xml:space="preserve">Лот № 1: 10%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7.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1. Срок внесения задатка - не позднее даты окончания срока приема заявок на участие в торгах. 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2. Внесение задатка осуществляется по следующим реквизитам: </w:t>
            </w:r>
            <w:r/>
          </w:p>
          <w:p>
            <w:pPr>
              <w:pStyle w:val="625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Валюта получаемого перевода: Российский рубль (RUB)</w:t>
            </w:r>
            <w:r>
              <w:rPr>
                <w:color w:val="000000"/>
              </w:rPr>
              <w:br/>
              <w:t xml:space="preserve">Получатель: </w:t>
            </w:r>
            <w:r>
              <w:rPr>
                <w:color w:val="000000"/>
              </w:rPr>
              <w:t xml:space="preserve">НОСОВ ВИТАЛИЙ ГЕННАДЬЕВИЧ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  <w:br/>
              <w:t xml:space="preserve">Номер счёта: </w:t>
            </w:r>
            <w:r>
              <w:rPr>
                <w:color w:val="000000"/>
              </w:rPr>
              <w:t xml:space="preserve">40817810304002086043</w:t>
            </w:r>
            <w:r>
              <w:rPr>
                <w:color w:val="000000"/>
              </w:rPr>
            </w:r>
            <w:r>
              <w:rPr>
                <w:color w:val="000000"/>
              </w:rPr>
              <w:br/>
              <w:t xml:space="preserve">Банк получателя: АРХАНГЕЛЬСКОЕ ОТДЕЛЕНИЕ N 8637 ПАО СБЕРБАНК</w:t>
            </w:r>
            <w:r>
              <w:rPr>
                <w:color w:val="000000"/>
              </w:rPr>
              <w:br/>
              <w:t xml:space="preserve">БИК: </w:t>
            </w:r>
            <w:r>
              <w:rPr>
                <w:color w:val="000000"/>
              </w:rPr>
              <w:t xml:space="preserve">041117601</w:t>
            </w:r>
            <w:r>
              <w:rPr>
                <w:color w:val="000000"/>
              </w:rPr>
            </w:r>
            <w:r>
              <w:rPr>
                <w:color w:val="000000"/>
              </w:rPr>
              <w:br/>
              <w:t xml:space="preserve">Корр. счёт: 30101810100000000601</w:t>
            </w:r>
            <w:r>
              <w:rPr>
                <w:color w:val="000000"/>
              </w:rPr>
              <w:br/>
              <w:t xml:space="preserve">ИНН: </w:t>
            </w:r>
            <w:r>
              <w:rPr>
                <w:color w:val="000000"/>
              </w:rPr>
              <w:t xml:space="preserve">7707083893</w:t>
            </w:r>
            <w:r>
              <w:rPr>
                <w:color w:val="000000"/>
              </w:rPr>
            </w:r>
            <w:r>
              <w:rPr>
                <w:color w:val="000000"/>
              </w:rPr>
              <w:br/>
              <w:t xml:space="preserve">КПП: </w:t>
            </w:r>
            <w:r>
              <w:rPr>
                <w:color w:val="000000"/>
              </w:rPr>
              <w:t xml:space="preserve">290102001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r/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8.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Шаг аукциона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r>
              <w:rPr>
                <w:color w:val="000000"/>
              </w:rPr>
              <w:t xml:space="preserve">Лот № 1: 10%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9.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Текст сообщения должен содержать следующие сведения: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сведения о форме проведения торгов и форме представления предложений о цене имущества;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размер задатка, сроки и порядок внесения задатка, реквизиты счетов, на которые вносится задаток;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начальная цена продажи имущества;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величина повышения начальной цены продажи имущества ("шаг аукциона");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порядок и критерии выявления победителя торгов;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дата, время и место подведения результатов торгов;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порядок и срок заключения договора купли-продажи имущества;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сроки платежей, реквизиты счетов, на которые вносятся платежи;</w:t>
            </w:r>
            <w:r/>
          </w:p>
          <w:p>
            <w:r>
              <w:rPr>
                <w:color w:val="000000"/>
              </w:rPr>
              <w:t xml:space="preserve">сведения об организаторе торгов, его почтовый адрес, адрес электронной почты, номер контактного телефона.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10.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б) фамилия,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в) номер контактного телефона, адрес электронной почты заявителя; 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г) сведения о наличии или об отсутствии заинтересованности заявителя по отношению к должнику, кредиторам, арбит</w:t>
            </w:r>
            <w:r>
              <w:rPr>
                <w:color w:val="000000"/>
                <w:sz w:val="20"/>
                <w:szCs w:val="20"/>
              </w:rP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</w:t>
            </w:r>
            <w:r>
              <w:rPr>
                <w:color w:val="000000"/>
                <w:sz w:val="20"/>
                <w:szCs w:val="20"/>
              </w:rPr>
              <w:t xml:space="preserve">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</w:t>
            </w:r>
            <w:r>
              <w:rPr>
                <w:color w:val="000000"/>
                <w:sz w:val="20"/>
                <w:szCs w:val="20"/>
              </w:rPr>
              <w:t xml:space="preserve">перечисление задатка заявителем в соответствии с электронным сообщением о продаже признается акцептом договора о задатке.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Заявит</w:t>
            </w:r>
            <w:r>
              <w:rPr>
                <w:color w:val="000000"/>
                <w:sz w:val="20"/>
                <w:szCs w:val="20"/>
              </w:rP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r>
              <w:rPr>
                <w:color w:val="000000"/>
              </w:rPr>
              <w:t xml:space="preserve">В течение тридцати минут с момента представления заявки на участие в торгах такая заявка с помощью программно-аппа</w:t>
            </w:r>
            <w:r>
              <w:rPr>
                <w:color w:val="000000"/>
              </w:rP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11.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r>
              <w:rPr>
                <w:color w:val="000000"/>
              </w:rP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12.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Определение участников торгов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Не позднее тридцати минут после окон</w:t>
            </w:r>
            <w:r>
              <w:rPr>
                <w:color w:val="000000"/>
                <w:sz w:val="20"/>
                <w:szCs w:val="20"/>
              </w:rP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</w:t>
            </w:r>
            <w:r>
              <w:rPr>
                <w:color w:val="000000"/>
                <w:sz w:val="20"/>
                <w:szCs w:val="20"/>
              </w:rPr>
              <w:t xml:space="preserve">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 течение пяти календарных дней со дня подписания и направлени</w:t>
            </w:r>
            <w:r>
              <w:rPr>
                <w:color w:val="000000"/>
                <w:sz w:val="20"/>
                <w:szCs w:val="20"/>
              </w:rPr>
              <w:t xml:space="preserve">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</w:t>
            </w:r>
            <w:r>
              <w:rPr>
                <w:color w:val="000000"/>
                <w:sz w:val="20"/>
                <w:szCs w:val="20"/>
              </w:rPr>
              <w:t xml:space="preserve">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К участи</w:t>
            </w:r>
            <w:r>
              <w:rPr>
                <w:color w:val="000000"/>
                <w:sz w:val="20"/>
                <w:szCs w:val="20"/>
              </w:rPr>
              <w:t xml:space="preserve">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Решение об отказе в допуске заявителя к участию в торгах принимается в случае, если: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- представленные заявителем документы не соответствуют установленным к ним требованиям или недостоверны;</w:t>
            </w:r>
            <w:r/>
          </w:p>
          <w:p>
            <w:r>
              <w:rPr>
                <w:color w:val="000000"/>
              </w:rP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13.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Если в течение одно</w:t>
            </w:r>
            <w:r>
              <w:rPr>
                <w:color w:val="000000"/>
                <w:sz w:val="20"/>
                <w:szCs w:val="20"/>
              </w:rPr>
              <w:t xml:space="preserve">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</w:t>
            </w:r>
            <w:r>
              <w:rPr>
                <w:color w:val="000000"/>
                <w:sz w:val="20"/>
                <w:szCs w:val="20"/>
              </w:rPr>
              <w:t xml:space="preserve">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а) предложение о цене представлено по истечении установленного срока представления предложений о цене;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в) одним участником представлено второе предложение о цене подряд при отсутствии предложений других участников торгов.</w:t>
            </w:r>
            <w:r/>
          </w:p>
          <w:p>
            <w:r>
              <w:rPr>
                <w:color w:val="000000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14.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Не </w:t>
            </w:r>
            <w:r>
              <w:rPr>
                <w:color w:val="000000"/>
                <w:sz w:val="20"/>
                <w:szCs w:val="20"/>
              </w:rPr>
              <w:t xml:space="preserve">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Организат</w:t>
            </w:r>
            <w:r>
              <w:rPr>
                <w:color w:val="000000"/>
                <w:sz w:val="20"/>
                <w:szCs w:val="20"/>
              </w:rP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Протокол о результатах проведения торгов размещается оператором электронной площадки на электронной площадке.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Не позднее тридцати минут после размещения</w:t>
            </w:r>
            <w:r>
              <w:rPr>
                <w:color w:val="000000"/>
                <w:sz w:val="20"/>
                <w:szCs w:val="20"/>
              </w:rP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Организат</w:t>
            </w:r>
            <w:r>
              <w:rPr>
                <w:color w:val="000000"/>
                <w:sz w:val="20"/>
                <w:szCs w:val="20"/>
              </w:rP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Не позднее тридцати минут после размеще</w:t>
            </w:r>
            <w:r>
              <w:rPr>
                <w:color w:val="000000"/>
                <w:sz w:val="20"/>
                <w:szCs w:val="20"/>
              </w:rPr>
              <w:t xml:space="preserve">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r>
              <w:rPr>
                <w:color w:val="000000"/>
              </w:rPr>
              <w:t xml:space="preserve">Если к участию в торгах был допущен тол</w:t>
            </w:r>
            <w:r>
              <w:rPr>
                <w:color w:val="000000"/>
              </w:rPr>
              <w:t xml:space="preserve">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 течение пяти дней</w:t>
            </w:r>
            <w:r>
              <w:rPr>
                <w:color w:val="000000"/>
                <w:sz w:val="20"/>
                <w:szCs w:val="20"/>
              </w:rP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r>
              <w:rPr>
                <w:color w:val="000000"/>
              </w:rPr>
              <w:t xml:space="preserve"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rPr>
                <w:color w:val="000000"/>
              </w:rP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r>
              <w:rPr>
                <w:color w:val="000000"/>
              </w:rP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</w:p>
          <w:p>
            <w:pPr>
              <w:pStyle w:val="625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Валюта получаемого перевода: Российский рубль (RUB)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Получатель: </w:t>
            </w:r>
            <w:r>
              <w:rPr>
                <w:color w:val="000000"/>
              </w:rPr>
              <w:t xml:space="preserve">НОСОВ ВИТАЛИЙ ГЕННАДЬЕВИЧ</w:t>
            </w:r>
            <w:r>
              <w:rPr>
                <w:color w:val="000000"/>
              </w:rPr>
              <w:br/>
              <w:t xml:space="preserve">Номер счёта: </w:t>
            </w:r>
            <w:r>
              <w:rPr>
                <w:color w:val="000000"/>
              </w:rPr>
              <w:t xml:space="preserve">40817810304002086043</w:t>
            </w:r>
            <w:r>
              <w:rPr>
                <w:color w:val="000000"/>
              </w:rPr>
              <w:br/>
              <w:t xml:space="preserve">Банк получателя: АРХАНГЕЛЬСКОЕ ОТДЕЛЕНИЕ N 8637 ПАО СБЕРБАНК</w:t>
            </w:r>
            <w:r>
              <w:rPr>
                <w:color w:val="000000"/>
              </w:rPr>
              <w:br/>
              <w:t xml:space="preserve">БИК: </w:t>
            </w:r>
            <w:r>
              <w:rPr>
                <w:color w:val="000000"/>
              </w:rPr>
              <w:t xml:space="preserve">041117601</w:t>
            </w:r>
            <w:r>
              <w:rPr>
                <w:color w:val="000000"/>
              </w:rPr>
              <w:br/>
              <w:t xml:space="preserve">Корр. счёт: 30101810100000000601</w:t>
            </w:r>
            <w:r>
              <w:rPr>
                <w:color w:val="000000"/>
              </w:rPr>
              <w:br/>
              <w:t xml:space="preserve">ИНН: </w:t>
            </w:r>
            <w:r>
              <w:rPr>
                <w:color w:val="000000"/>
              </w:rPr>
              <w:t xml:space="preserve">7707083893</w:t>
            </w:r>
            <w:r>
              <w:rPr>
                <w:color w:val="000000"/>
              </w:rPr>
              <w:br/>
              <w:t xml:space="preserve">КПП: </w:t>
            </w:r>
            <w:r>
              <w:rPr>
                <w:color w:val="000000"/>
              </w:rPr>
              <w:t xml:space="preserve">290102001</w:t>
            </w:r>
            <w:r/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r>
              <w:rPr>
                <w:color w:val="000000"/>
              </w:rPr>
              <w:t xml:space="preserve">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Обязательными условиями договора купли-продажи имущества являются: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сведения об имуществе, его составе, характеристиках, описание имущества;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цена продажи имущества;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порядок и срок передачи имущества покупателю;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сведения о наличии или об отсутствии обременении в отношении имущества, в том числе публичного сервитута;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иные предусмотренные законодательством Российской Федерации условия.</w:t>
            </w:r>
            <w:r/>
          </w:p>
          <w:p>
            <w:r>
              <w:rPr>
                <w:color w:val="000000"/>
              </w:rP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r>
              <w:rPr>
                <w:color w:val="0000ff"/>
                <w:u w:val="single"/>
              </w:rPr>
              <w:t xml:space="preserve">законодательством</w:t>
            </w:r>
            <w:r>
              <w:rPr>
                <w:color w:val="000000"/>
              </w:rPr>
              <w:t xml:space="preserve"> Российской Федерации.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 случае признания торгов несостоявшимися и незаключения договора купли-продаж</w:t>
            </w:r>
            <w:r>
              <w:rPr>
                <w:color w:val="000000"/>
                <w:sz w:val="20"/>
                <w:szCs w:val="20"/>
              </w:rPr>
              <w:t xml:space="preserve">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</w:t>
            </w:r>
            <w:r>
              <w:rPr>
                <w:color w:val="000000"/>
                <w:sz w:val="20"/>
                <w:szCs w:val="20"/>
              </w:rP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r>
              <w:rPr>
                <w:color w:val="000000"/>
              </w:rP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/>
          </w:p>
        </w:tc>
      </w:tr>
      <w:tr>
        <w:tblPrEx/>
        <w:trPr>
          <w:jc w:val="center"/>
        </w:trPr>
        <w:tc>
          <w:tcPr>
            <w:tcW w:w="466" w:type="dxa"/>
            <w:textDirection w:val="lrTb"/>
            <w:noWrap w:val="false"/>
          </w:tcPr>
          <w:p>
            <w:pPr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046" w:type="dxa"/>
            <w:textDirection w:val="lrTb"/>
            <w:noWrap w:val="false"/>
          </w:tcPr>
          <w:p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center"/>
            <w:textDirection w:val="lrTb"/>
            <w:noWrap w:val="false"/>
          </w:tcPr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 случае, если повт</w:t>
            </w:r>
            <w:r>
              <w:rPr>
                <w:color w:val="000000"/>
                <w:sz w:val="20"/>
                <w:szCs w:val="20"/>
              </w:rPr>
              <w:t xml:space="preserve">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</w:t>
            </w:r>
            <w:r>
              <w:rPr>
                <w:color w:val="000000"/>
                <w:sz w:val="20"/>
                <w:szCs w:val="20"/>
              </w:rPr>
              <w:t xml:space="preserve">должника подлежит продаже посредством публичного предложения.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  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Величина снижения начальной цены продажи имущества должника - 10 %.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</w:t>
            </w:r>
            <w:r>
              <w:rPr>
                <w:color w:val="000000"/>
                <w:sz w:val="20"/>
                <w:szCs w:val="20"/>
              </w:rP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</w:t>
            </w:r>
            <w:r>
              <w:rPr>
                <w:color w:val="000000"/>
                <w:sz w:val="20"/>
                <w:szCs w:val="20"/>
              </w:rPr>
              <w:t xml:space="preserve">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</w:t>
            </w:r>
            <w:r>
              <w:rPr>
                <w:color w:val="000000"/>
                <w:sz w:val="20"/>
                <w:szCs w:val="20"/>
              </w:rPr>
              <w:t xml:space="preserve">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</w:t>
            </w:r>
            <w:r>
              <w:rPr>
                <w:color w:val="000000"/>
                <w:sz w:val="20"/>
                <w:szCs w:val="20"/>
              </w:rPr>
              <w:t xml:space="preserve">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</w:t>
            </w:r>
            <w:r>
              <w:rPr>
                <w:color w:val="000000"/>
                <w:sz w:val="20"/>
                <w:szCs w:val="20"/>
              </w:rPr>
              <w:t xml:space="preserve">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</w:t>
            </w:r>
            <w:r>
              <w:rPr>
                <w:color w:val="000000"/>
                <w:sz w:val="20"/>
                <w:szCs w:val="20"/>
              </w:rP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При участии в торгах посредством публичного пред</w:t>
            </w:r>
            <w:r>
              <w:rPr>
                <w:color w:val="000000"/>
                <w:sz w:val="20"/>
                <w:szCs w:val="20"/>
              </w:rPr>
              <w:t xml:space="preserve">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Заявки на участие в торгах, поступившие в т</w:t>
            </w:r>
            <w:r>
              <w:rPr>
                <w:color w:val="000000"/>
                <w:sz w:val="20"/>
                <w:szCs w:val="20"/>
              </w:rP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Определение участников торгов, проводимых </w:t>
            </w:r>
            <w:r>
              <w:rPr>
                <w:color w:val="000000"/>
                <w:sz w:val="20"/>
                <w:szCs w:val="20"/>
              </w:rPr>
              <w:t xml:space="preserve">в форме публичного предложения</w:t>
            </w:r>
            <w:r>
              <w:rPr>
                <w:color w:val="000000"/>
                <w:sz w:val="20"/>
                <w:szCs w:val="20"/>
              </w:rPr>
              <w:t xml:space="preserve"> осуществляется в следующем порядке: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</w:t>
            </w:r>
            <w:r>
              <w:rPr>
                <w:color w:val="000000"/>
                <w:sz w:val="20"/>
                <w:szCs w:val="20"/>
              </w:rPr>
              <w:t xml:space="preserve">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окончания периода проведения торгов.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</w:t>
            </w:r>
            <w:r>
              <w:rPr>
                <w:color w:val="000000"/>
                <w:sz w:val="20"/>
                <w:szCs w:val="20"/>
              </w:rPr>
              <w:t xml:space="preserve">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завершения торгов вследствие оставления конкурсным кредитором предмета залога за собой;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окончания периода проведения торгов.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 результатам проведения торгов оператором электронной площадки </w:t>
            </w:r>
            <w:r>
              <w:rPr>
                <w:color w:val="000000"/>
                <w:sz w:val="20"/>
                <w:szCs w:val="20"/>
              </w:rPr>
              <w:t xml:space="preserve">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получения от организатора торгов (по окончании любого периода проведения торгов или по завершени</w:t>
            </w:r>
            <w:r>
              <w:rPr>
                <w:color w:val="000000"/>
                <w:sz w:val="20"/>
                <w:szCs w:val="20"/>
              </w:rPr>
              <w:t xml:space="preserve">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rPr>
                <w:color w:val="000000"/>
                <w:sz w:val="20"/>
                <w:szCs w:val="20"/>
              </w:rP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rPr>
                <w:color w:val="000000"/>
                <w:sz w:val="20"/>
                <w:szCs w:val="20"/>
              </w:rP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</w:p>
          <w:p>
            <w:pPr>
              <w:pStyle w:val="625"/>
              <w:spacing w:before="0" w:after="0"/>
              <w:widowControl w:val="off"/>
            </w:pPr>
            <w:r>
              <w:rPr>
                <w:color w:val="000000"/>
                <w:sz w:val="20"/>
                <w:szCs w:val="20"/>
              </w:rPr>
              <w:t xml:space="preserve"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</w:p>
          <w:p>
            <w:r>
              <w:rPr>
                <w:color w:val="000000"/>
              </w:rPr>
              <w:t xml:space="preserve">Не позднее тридцати минут после размещения на электронной площадке указанных прото</w:t>
            </w:r>
            <w:r>
              <w:rPr>
                <w:color w:val="000000"/>
              </w:rP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</w:tc>
      </w:tr>
    </w:tbl>
    <w:p>
      <w:r/>
      <w:r/>
    </w:p>
    <w:p>
      <w:pPr>
        <w:jc w:val="both"/>
      </w:pPr>
      <w:r/>
      <w:r/>
    </w:p>
    <w:p>
      <w:pPr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</w:t>
      </w:r>
      <w:r>
        <w:t xml:space="preserve">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24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W w:w="2484" w:type="pct"/>
            <w:textDirection w:val="lrTb"/>
            <w:noWrap w:val="false"/>
          </w:tcPr>
          <w:p>
            <w:r/>
            <w:r/>
          </w:p>
          <w:p>
            <w:r>
              <w:t xml:space="preserve">Финансовый управляющий</w:t>
            </w:r>
            <w:r>
              <w:rPr>
                <w:bCs/>
              </w:rPr>
              <w:br/>
            </w:r>
            <w:r>
              <w:t xml:space="preserve">Носова Виталия Геннадьевича</w:t>
            </w:r>
            <w:r/>
          </w:p>
        </w:tc>
        <w:tc>
          <w:tcPr>
            <w:tcW w:w="0" w:type="auto"/>
            <w:vAlign w:val="center"/>
            <w:textDirection w:val="lrTb"/>
            <w:noWrap w:val="false"/>
          </w:tcPr>
          <w:p>
            <w:r>
              <w:t xml:space="preserve"> </w:t>
            </w:r>
            <w:r/>
          </w:p>
        </w:tc>
        <w:tc>
          <w:tcPr>
            <w:tcW w:w="2484" w:type="pct"/>
            <w:textDirection w:val="lrTb"/>
            <w:noWrap w:val="false"/>
          </w:tcPr>
          <w:p>
            <w:pPr>
              <w:pStyle w:val="62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Н.А. Газизова</w:t>
            </w:r>
            <w:r>
              <w:rPr>
                <w:sz w:val="20"/>
                <w:szCs w:val="20"/>
              </w:rPr>
            </w:r>
          </w:p>
        </w:tc>
      </w:tr>
    </w:tbl>
    <w:p>
      <w:pPr>
        <w:jc w:val="both"/>
      </w:pPr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widowControl w:val="off"/>
    </w:pPr>
    <w:rPr>
      <w:rFonts w:ascii="Times New Roman" w:hAnsi="Times New Roman" w:eastAsia="Times New Roman"/>
    </w:rPr>
  </w:style>
  <w:style w:type="character" w:styleId="618" w:default="1">
    <w:name w:val="Default Paragraph Font"/>
    <w:uiPriority w:val="1"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customStyle="1">
    <w:name w:val="Обычный1"/>
    <w:rPr>
      <w:rFonts w:ascii="Times New Roman" w:hAnsi="Times New Roman" w:eastAsia="Times New Roman"/>
    </w:rPr>
  </w:style>
  <w:style w:type="table" w:styleId="622">
    <w:name w:val="Table Grid"/>
    <w:basedOn w:val="61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23">
    <w:name w:val="Hyperlink"/>
    <w:uiPriority w:val="99"/>
    <w:unhideWhenUsed/>
    <w:rPr>
      <w:color w:val="0000ff"/>
      <w:u w:val="single"/>
    </w:rPr>
  </w:style>
  <w:style w:type="paragraph" w:styleId="624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625">
    <w:name w:val="Обычный (веб)"/>
    <w:basedOn w:val="617"/>
    <w:uiPriority w:val="99"/>
    <w:pPr>
      <w:spacing w:before="240" w:after="240"/>
      <w:widowControl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alesh</cp:lastModifiedBy>
  <cp:revision>4</cp:revision>
  <dcterms:created xsi:type="dcterms:W3CDTF">2025-10-21T14:51:00Z</dcterms:created>
  <dcterms:modified xsi:type="dcterms:W3CDTF">2025-12-29T14:54:39Z</dcterms:modified>
</cp:coreProperties>
</file>