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1592" w14:textId="77777777" w:rsidR="00834563" w:rsidRDefault="00834563">
      <w:pPr>
        <w:pStyle w:val="12"/>
        <w:widowControl w:val="0"/>
        <w:rPr>
          <w:sz w:val="18"/>
          <w:szCs w:val="18"/>
        </w:rPr>
      </w:pPr>
      <w:r>
        <w:rPr>
          <w:sz w:val="18"/>
          <w:szCs w:val="18"/>
        </w:rPr>
        <w:t>ДОГОВОР О ЗАДАТКЕ</w:t>
      </w:r>
    </w:p>
    <w:p w14:paraId="7E73398F" w14:textId="77777777" w:rsidR="00834563" w:rsidRDefault="00834563">
      <w:pPr>
        <w:widowControl w:val="0"/>
        <w:ind w:right="368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34563" w14:paraId="4E215221" w14:textId="77777777">
        <w:tc>
          <w:tcPr>
            <w:tcW w:w="4785" w:type="dxa"/>
          </w:tcPr>
          <w:p w14:paraId="257413A5" w14:textId="77777777" w:rsidR="00834563" w:rsidRDefault="00834563">
            <w:pPr>
              <w:pStyle w:val="a7"/>
              <w:widowControl w:val="0"/>
              <w:ind w:right="85"/>
              <w:jc w:val="left"/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4785" w:type="dxa"/>
          </w:tcPr>
          <w:p w14:paraId="71225B9C" w14:textId="77777777" w:rsidR="00834563" w:rsidRDefault="00834563">
            <w:pPr>
              <w:pStyle w:val="a7"/>
              <w:widowControl w:val="0"/>
              <w:ind w:right="85"/>
              <w:jc w:val="right"/>
            </w:pPr>
            <w:r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</w:t>
            </w:r>
            <w:r>
              <w:rPr>
                <w:sz w:val="18"/>
                <w:szCs w:val="18"/>
              </w:rPr>
              <w:softHyphen/>
              <w:t xml:space="preserve"> </w:t>
            </w:r>
            <w:r w:rsidR="00E33BB1">
              <w:rPr>
                <w:sz w:val="18"/>
                <w:szCs w:val="18"/>
              </w:rPr>
              <w:t>_____</w:t>
            </w:r>
            <w:r w:rsidR="00BF0D9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г.</w:t>
            </w:r>
          </w:p>
        </w:tc>
      </w:tr>
    </w:tbl>
    <w:p w14:paraId="6F588989" w14:textId="77777777" w:rsidR="00834563" w:rsidRDefault="00834563">
      <w:pPr>
        <w:widowControl w:val="0"/>
        <w:ind w:right="84"/>
        <w:jc w:val="both"/>
        <w:rPr>
          <w:sz w:val="18"/>
          <w:szCs w:val="18"/>
        </w:rPr>
      </w:pPr>
    </w:p>
    <w:p w14:paraId="32A14CE6" w14:textId="77777777" w:rsidR="00ED3786" w:rsidRDefault="00ED3786" w:rsidP="00ED3786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 w:rsidRPr="002A21BC">
        <w:rPr>
          <w:b/>
          <w:color w:val="000000"/>
          <w:sz w:val="18"/>
          <w:szCs w:val="18"/>
          <w:lang w:eastAsia="ru-RU"/>
        </w:rPr>
        <w:t>ОБЩЕСТВО С ОГРАНИЧЕННОЙ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 xml:space="preserve">ОТВЕТСТВЕННОСТЬЮ </w:t>
      </w:r>
      <w:r>
        <w:rPr>
          <w:b/>
          <w:color w:val="000000"/>
          <w:sz w:val="18"/>
          <w:szCs w:val="18"/>
          <w:lang w:eastAsia="ru-RU"/>
        </w:rPr>
        <w:t>«</w:t>
      </w:r>
      <w:r w:rsidRPr="002A21BC">
        <w:rPr>
          <w:b/>
          <w:color w:val="000000"/>
          <w:sz w:val="18"/>
          <w:szCs w:val="18"/>
          <w:lang w:eastAsia="ru-RU"/>
        </w:rPr>
        <w:t>ЗАО ТРЕК-Э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>КОМПОЗИТ</w:t>
      </w:r>
      <w:r w:rsidRPr="00275EE8">
        <w:rPr>
          <w:b/>
          <w:color w:val="000000"/>
          <w:sz w:val="18"/>
          <w:szCs w:val="18"/>
          <w:lang w:eastAsia="ru-RU"/>
        </w:rPr>
        <w:t xml:space="preserve">» </w:t>
      </w:r>
      <w:r w:rsidRPr="00275EE8">
        <w:rPr>
          <w:color w:val="000000"/>
          <w:sz w:val="18"/>
          <w:szCs w:val="18"/>
          <w:lang w:eastAsia="ru-RU"/>
        </w:rPr>
        <w:t>(сокращенное наименование – ООО «</w:t>
      </w:r>
      <w:r w:rsidRPr="002A21BC">
        <w:rPr>
          <w:color w:val="000000"/>
          <w:sz w:val="18"/>
          <w:szCs w:val="18"/>
          <w:lang w:eastAsia="ru-RU"/>
        </w:rPr>
        <w:t>ЗАО ТРЕК-Э КОМПОЗИТ</w:t>
      </w:r>
      <w:r w:rsidRPr="00275EE8">
        <w:rPr>
          <w:color w:val="000000"/>
          <w:sz w:val="18"/>
          <w:szCs w:val="18"/>
          <w:lang w:eastAsia="ru-RU"/>
        </w:rPr>
        <w:t xml:space="preserve">») в лице конкурсного управляющего </w:t>
      </w:r>
      <w:r w:rsidRPr="002A21BC">
        <w:rPr>
          <w:color w:val="000000"/>
          <w:sz w:val="18"/>
          <w:szCs w:val="18"/>
          <w:lang w:eastAsia="ru-RU"/>
        </w:rPr>
        <w:t>Шульженко Артем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Сергеевич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</w:t>
      </w:r>
      <w:r w:rsidRPr="00275EE8">
        <w:rPr>
          <w:color w:val="000000"/>
          <w:sz w:val="18"/>
          <w:szCs w:val="18"/>
          <w:lang w:eastAsia="ru-RU"/>
        </w:rPr>
        <w:t xml:space="preserve">(ИНН </w:t>
      </w:r>
      <w:r w:rsidRPr="002A21BC">
        <w:rPr>
          <w:color w:val="000000"/>
          <w:sz w:val="18"/>
          <w:szCs w:val="18"/>
          <w:lang w:eastAsia="ru-RU"/>
        </w:rPr>
        <w:t>773398399815</w:t>
      </w:r>
      <w:r w:rsidRPr="00275EE8">
        <w:rPr>
          <w:color w:val="000000"/>
          <w:sz w:val="18"/>
          <w:szCs w:val="18"/>
          <w:lang w:eastAsia="ru-RU"/>
        </w:rPr>
        <w:t xml:space="preserve">, СНИЛС </w:t>
      </w:r>
      <w:r w:rsidRPr="002A21BC">
        <w:rPr>
          <w:color w:val="000000"/>
          <w:sz w:val="18"/>
          <w:szCs w:val="18"/>
          <w:lang w:eastAsia="ru-RU"/>
        </w:rPr>
        <w:t>200-166-026 88</w:t>
      </w:r>
      <w:r w:rsidRPr="00275EE8">
        <w:rPr>
          <w:color w:val="000000"/>
          <w:sz w:val="18"/>
          <w:szCs w:val="18"/>
          <w:lang w:eastAsia="ru-RU"/>
        </w:rPr>
        <w:t xml:space="preserve">, номер в сводном государственном реестре арбитражных управляющих </w:t>
      </w:r>
      <w:r w:rsidRPr="002A21BC">
        <w:rPr>
          <w:color w:val="000000"/>
          <w:sz w:val="18"/>
          <w:szCs w:val="18"/>
          <w:lang w:eastAsia="ru-RU"/>
        </w:rPr>
        <w:t>19915</w:t>
      </w:r>
      <w:r w:rsidRPr="00275EE8">
        <w:rPr>
          <w:color w:val="000000"/>
          <w:sz w:val="18"/>
          <w:szCs w:val="18"/>
          <w:lang w:eastAsia="ru-RU"/>
        </w:rPr>
        <w:t xml:space="preserve">), член </w:t>
      </w:r>
      <w:r w:rsidRPr="00673602">
        <w:rPr>
          <w:color w:val="000000"/>
          <w:sz w:val="18"/>
          <w:szCs w:val="18"/>
          <w:lang w:eastAsia="ru-RU"/>
        </w:rPr>
        <w:t xml:space="preserve">Союза АУ НЦРБ (ИНН 7813175754, ОГРН 1027806876173, 123056, г. Москва, </w:t>
      </w:r>
      <w:proofErr w:type="spellStart"/>
      <w:r w:rsidRPr="00673602">
        <w:rPr>
          <w:color w:val="000000"/>
          <w:sz w:val="18"/>
          <w:szCs w:val="18"/>
          <w:lang w:eastAsia="ru-RU"/>
        </w:rPr>
        <w:t>вн.тер.г</w:t>
      </w:r>
      <w:proofErr w:type="spellEnd"/>
      <w:r w:rsidRPr="00673602">
        <w:rPr>
          <w:color w:val="000000"/>
          <w:sz w:val="18"/>
          <w:szCs w:val="18"/>
          <w:lang w:eastAsia="ru-RU"/>
        </w:rPr>
        <w:t xml:space="preserve">. </w:t>
      </w:r>
      <w:proofErr w:type="spellStart"/>
      <w:r>
        <w:rPr>
          <w:color w:val="000000"/>
          <w:sz w:val="18"/>
          <w:szCs w:val="18"/>
          <w:lang w:eastAsia="ru-RU"/>
        </w:rPr>
        <w:t>м.о</w:t>
      </w:r>
      <w:proofErr w:type="spellEnd"/>
      <w:r>
        <w:rPr>
          <w:color w:val="000000"/>
          <w:sz w:val="18"/>
          <w:szCs w:val="18"/>
          <w:lang w:eastAsia="ru-RU"/>
        </w:rPr>
        <w:t>.</w:t>
      </w:r>
      <w:r w:rsidRPr="00673602">
        <w:rPr>
          <w:color w:val="000000"/>
          <w:sz w:val="18"/>
          <w:szCs w:val="18"/>
          <w:lang w:eastAsia="ru-RU"/>
        </w:rPr>
        <w:t xml:space="preserve"> Пресненский, ул. Большая Грузинская, д. 61, стр. 2, пом. 19/9</w:t>
      </w:r>
      <w:r>
        <w:rPr>
          <w:color w:val="000000"/>
          <w:sz w:val="18"/>
          <w:szCs w:val="18"/>
          <w:lang w:eastAsia="ru-RU"/>
        </w:rPr>
        <w:t>)</w:t>
      </w:r>
      <w:r w:rsidRPr="00275EE8">
        <w:rPr>
          <w:color w:val="000000"/>
          <w:sz w:val="18"/>
          <w:szCs w:val="18"/>
          <w:lang w:eastAsia="ru-RU"/>
        </w:rPr>
        <w:t xml:space="preserve">, действующего на основании </w:t>
      </w:r>
      <w:r>
        <w:rPr>
          <w:color w:val="000000"/>
          <w:sz w:val="18"/>
          <w:szCs w:val="18"/>
          <w:lang w:eastAsia="ru-RU"/>
        </w:rPr>
        <w:t xml:space="preserve">решения </w:t>
      </w:r>
      <w:r w:rsidRPr="00275EE8">
        <w:rPr>
          <w:color w:val="000000"/>
          <w:sz w:val="18"/>
          <w:szCs w:val="18"/>
          <w:lang w:eastAsia="ru-RU"/>
        </w:rPr>
        <w:t xml:space="preserve">Арбитражного суда </w:t>
      </w:r>
      <w:r>
        <w:rPr>
          <w:color w:val="000000"/>
          <w:sz w:val="18"/>
          <w:szCs w:val="18"/>
          <w:lang w:eastAsia="ru-RU"/>
        </w:rPr>
        <w:t>города Москвы по делу №А40-247167/2022 от 16.11.2023 г. (резолютивная часть от 24.10.2023 г.),</w:t>
      </w:r>
      <w:r w:rsidRPr="00275EE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именуемое в дальнейшем «Организатор торгов», </w:t>
      </w:r>
      <w:r>
        <w:rPr>
          <w:bCs/>
          <w:sz w:val="18"/>
          <w:szCs w:val="18"/>
        </w:rPr>
        <w:t>с одной стороны</w:t>
      </w:r>
      <w:r>
        <w:rPr>
          <w:sz w:val="18"/>
          <w:szCs w:val="18"/>
        </w:rPr>
        <w:t xml:space="preserve">, и </w:t>
      </w:r>
    </w:p>
    <w:p w14:paraId="710FDE68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_________], в лице </w:t>
      </w: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_____], действующего на основании </w:t>
      </w: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_], </w:t>
      </w:r>
      <w:r w:rsidR="00275EE8">
        <w:rPr>
          <w:sz w:val="18"/>
          <w:szCs w:val="18"/>
        </w:rPr>
        <w:t>именуемый в дальнейшем «</w:t>
      </w:r>
      <w:r w:rsidR="00275EE8">
        <w:rPr>
          <w:b/>
          <w:sz w:val="18"/>
          <w:szCs w:val="18"/>
        </w:rPr>
        <w:t>Заявитель»</w:t>
      </w:r>
      <w:r w:rsidR="00275EE8">
        <w:rPr>
          <w:sz w:val="18"/>
          <w:szCs w:val="18"/>
        </w:rPr>
        <w:t xml:space="preserve">, </w:t>
      </w:r>
      <w:r>
        <w:rPr>
          <w:sz w:val="18"/>
          <w:szCs w:val="18"/>
        </w:rPr>
        <w:t>с другой стороны, совместно именуемые в дальнейшем «</w:t>
      </w:r>
      <w:r>
        <w:rPr>
          <w:b/>
          <w:sz w:val="18"/>
          <w:szCs w:val="18"/>
        </w:rPr>
        <w:t>Стороны</w:t>
      </w:r>
      <w:r>
        <w:rPr>
          <w:sz w:val="18"/>
          <w:szCs w:val="18"/>
        </w:rPr>
        <w:t xml:space="preserve">», </w:t>
      </w:r>
    </w:p>
    <w:p w14:paraId="08D4273B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договор, именуемый в дальнейшем «</w:t>
      </w:r>
      <w:r>
        <w:rPr>
          <w:b/>
          <w:sz w:val="18"/>
          <w:szCs w:val="18"/>
        </w:rPr>
        <w:t>Договор</w:t>
      </w:r>
      <w:r>
        <w:rPr>
          <w:sz w:val="18"/>
          <w:szCs w:val="18"/>
        </w:rPr>
        <w:t>», о нижеследующем.</w:t>
      </w:r>
    </w:p>
    <w:p w14:paraId="4DF1C831" w14:textId="77777777" w:rsidR="00834563" w:rsidRDefault="00834563">
      <w:pPr>
        <w:widowControl w:val="0"/>
        <w:ind w:right="368"/>
        <w:rPr>
          <w:sz w:val="18"/>
          <w:szCs w:val="18"/>
        </w:rPr>
      </w:pPr>
    </w:p>
    <w:p w14:paraId="4F99DDC3" w14:textId="77777777" w:rsidR="00834563" w:rsidRDefault="00834563">
      <w:pPr>
        <w:widowControl w:val="0"/>
        <w:ind w:right="36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5CDD5323" w14:textId="77777777" w:rsidR="00834563" w:rsidRPr="0030452D" w:rsidRDefault="00834563" w:rsidP="0030452D">
      <w:pPr>
        <w:pStyle w:val="af2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0452D">
        <w:rPr>
          <w:sz w:val="18"/>
          <w:szCs w:val="18"/>
        </w:rPr>
        <w:t xml:space="preserve">1. В силу настоящего Договора Заявитель обязуется </w:t>
      </w:r>
      <w:r w:rsidR="001E110E" w:rsidRPr="0030452D">
        <w:rPr>
          <w:sz w:val="18"/>
          <w:szCs w:val="18"/>
        </w:rPr>
        <w:t xml:space="preserve">в срок не позднее даты и времени окончания приема заявок того периода действия цены, в котором подана заявка на участие в торгах </w:t>
      </w:r>
      <w:r w:rsidRPr="0030452D">
        <w:rPr>
          <w:sz w:val="18"/>
          <w:szCs w:val="18"/>
        </w:rPr>
        <w:t xml:space="preserve">уплатить в качестве задатка на специальный счет Должника денежные средства в сумме, равной </w:t>
      </w:r>
      <w:r w:rsidR="00275EE8" w:rsidRPr="0030452D">
        <w:rPr>
          <w:sz w:val="18"/>
          <w:szCs w:val="18"/>
        </w:rPr>
        <w:t>10</w:t>
      </w:r>
      <w:r w:rsidRPr="0030452D">
        <w:rPr>
          <w:sz w:val="18"/>
          <w:szCs w:val="18"/>
        </w:rPr>
        <w:t xml:space="preserve"> (</w:t>
      </w:r>
      <w:r w:rsidR="00275EE8" w:rsidRPr="0030452D">
        <w:rPr>
          <w:sz w:val="18"/>
          <w:szCs w:val="18"/>
        </w:rPr>
        <w:t>десяти</w:t>
      </w:r>
      <w:r w:rsidRPr="0030452D">
        <w:rPr>
          <w:sz w:val="18"/>
          <w:szCs w:val="18"/>
        </w:rPr>
        <w:t xml:space="preserve">) процентам </w:t>
      </w:r>
      <w:r w:rsidR="0030452D" w:rsidRPr="0030452D">
        <w:rPr>
          <w:szCs w:val="20"/>
          <w:lang w:eastAsia="zh-CN"/>
        </w:rPr>
        <w:t>от начальной цены продажи имущества, установленной для соответствующего этапа торгов</w:t>
      </w:r>
      <w:r w:rsidR="00694D71" w:rsidRPr="0030452D">
        <w:rPr>
          <w:sz w:val="18"/>
          <w:szCs w:val="18"/>
        </w:rPr>
        <w:t>, указанной в сообщении о проведении торгов, без учета налога на добавленную стоимост</w:t>
      </w:r>
      <w:r w:rsidRPr="0030452D">
        <w:rPr>
          <w:sz w:val="18"/>
          <w:szCs w:val="18"/>
        </w:rPr>
        <w:t>ь.</w:t>
      </w:r>
    </w:p>
    <w:p w14:paraId="31CB42A1" w14:textId="638E665D" w:rsidR="0030452D" w:rsidRDefault="00834563" w:rsidP="0030452D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3C332E">
        <w:rPr>
          <w:sz w:val="18"/>
          <w:szCs w:val="18"/>
        </w:rPr>
        <w:t xml:space="preserve">Под торгами для целей настоящего Договора понимаются </w:t>
      </w:r>
      <w:r w:rsidR="00694D71" w:rsidRPr="003C332E">
        <w:rPr>
          <w:sz w:val="18"/>
          <w:szCs w:val="18"/>
        </w:rPr>
        <w:t>открытые торги в форме</w:t>
      </w:r>
      <w:r w:rsidR="00947338">
        <w:rPr>
          <w:sz w:val="18"/>
          <w:szCs w:val="18"/>
        </w:rPr>
        <w:t xml:space="preserve"> повторного</w:t>
      </w:r>
      <w:r w:rsidR="00694D71" w:rsidRPr="003C332E">
        <w:rPr>
          <w:sz w:val="18"/>
          <w:szCs w:val="18"/>
        </w:rPr>
        <w:t xml:space="preserve"> публичного предложения </w:t>
      </w:r>
      <w:r w:rsidRPr="003C332E">
        <w:rPr>
          <w:sz w:val="18"/>
          <w:szCs w:val="18"/>
        </w:rPr>
        <w:t xml:space="preserve">по продаже имущества </w:t>
      </w:r>
      <w:r w:rsidR="0030452D" w:rsidRPr="003C332E">
        <w:rPr>
          <w:sz w:val="18"/>
          <w:szCs w:val="18"/>
        </w:rPr>
        <w:t>ООО «</w:t>
      </w:r>
      <w:r w:rsidR="0030452D" w:rsidRPr="003C332E">
        <w:rPr>
          <w:color w:val="000000"/>
          <w:sz w:val="18"/>
          <w:szCs w:val="18"/>
          <w:lang w:eastAsia="ru-RU"/>
        </w:rPr>
        <w:t>ЗАО ТРЕК-Э КОМПОЗИТ</w:t>
      </w:r>
      <w:r w:rsidR="0030452D" w:rsidRPr="003C332E">
        <w:rPr>
          <w:sz w:val="18"/>
          <w:szCs w:val="18"/>
        </w:rPr>
        <w:t xml:space="preserve">», проводимые согласно сообщению о проведении торгов, опубликованному в газете АО «Коммерсантъ» </w:t>
      </w:r>
      <w:r w:rsidR="007E68F0" w:rsidRPr="007E68F0">
        <w:rPr>
          <w:sz w:val="18"/>
          <w:szCs w:val="18"/>
        </w:rPr>
        <w:t>№236(8168) от 20.12.2025</w:t>
      </w:r>
      <w:r w:rsidR="007E68F0">
        <w:rPr>
          <w:sz w:val="18"/>
          <w:szCs w:val="18"/>
        </w:rPr>
        <w:t>г</w:t>
      </w:r>
      <w:r w:rsidR="0030452D" w:rsidRPr="003C332E">
        <w:rPr>
          <w:sz w:val="18"/>
          <w:szCs w:val="18"/>
        </w:rPr>
        <w:t xml:space="preserve">, а также размещенному в Едином федеральном реестре сведений о банкротстве № </w:t>
      </w:r>
      <w:r w:rsidR="000E3517">
        <w:rPr>
          <w:sz w:val="18"/>
          <w:szCs w:val="18"/>
        </w:rPr>
        <w:t>20677003</w:t>
      </w:r>
      <w:r w:rsidR="003C332E" w:rsidRPr="003C332E">
        <w:rPr>
          <w:sz w:val="18"/>
          <w:szCs w:val="18"/>
        </w:rPr>
        <w:t xml:space="preserve"> </w:t>
      </w:r>
      <w:r w:rsidR="0030452D" w:rsidRPr="003C332E">
        <w:rPr>
          <w:sz w:val="18"/>
          <w:szCs w:val="18"/>
        </w:rPr>
        <w:t xml:space="preserve"> и на электронной площадке</w:t>
      </w:r>
      <w:r w:rsidR="0030452D">
        <w:rPr>
          <w:sz w:val="18"/>
          <w:szCs w:val="18"/>
        </w:rPr>
        <w:t xml:space="preserve"> АО «Новые информационные сервисы» (</w:t>
      </w:r>
      <w:r w:rsidR="0030452D" w:rsidRPr="002A21BC">
        <w:rPr>
          <w:sz w:val="18"/>
          <w:szCs w:val="18"/>
        </w:rPr>
        <w:t>https://www.nistp.ru/</w:t>
      </w:r>
      <w:r w:rsidR="0030452D">
        <w:rPr>
          <w:sz w:val="18"/>
          <w:szCs w:val="18"/>
        </w:rPr>
        <w:t>),</w:t>
      </w:r>
      <w:r w:rsidR="0030452D" w:rsidRPr="002A21BC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в части торгов по продаже имущества ООО «</w:t>
      </w:r>
      <w:r w:rsidR="0030452D" w:rsidRPr="002A21BC">
        <w:rPr>
          <w:color w:val="000000"/>
          <w:sz w:val="18"/>
          <w:szCs w:val="18"/>
          <w:lang w:eastAsia="ru-RU"/>
        </w:rPr>
        <w:t>ЗАО ТРЕК-Э КОМПОЗИТ</w:t>
      </w:r>
      <w:r w:rsidR="0030452D">
        <w:rPr>
          <w:sz w:val="18"/>
          <w:szCs w:val="18"/>
        </w:rPr>
        <w:t>» в составе лота №_______________</w:t>
      </w:r>
      <w:r w:rsidR="0030452D" w:rsidRPr="007323DB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с начальной ценой продажи ______ руб. __ коп.</w:t>
      </w:r>
    </w:p>
    <w:p w14:paraId="5DC7D6F4" w14:textId="77777777" w:rsidR="00834563" w:rsidRDefault="00834563">
      <w:pPr>
        <w:widowControl w:val="0"/>
        <w:jc w:val="both"/>
        <w:rPr>
          <w:bCs/>
          <w:sz w:val="18"/>
          <w:szCs w:val="18"/>
        </w:rPr>
      </w:pPr>
    </w:p>
    <w:p w14:paraId="568E3EE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>. Общие положения</w:t>
      </w:r>
    </w:p>
    <w:p w14:paraId="2A0F41B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2657D1C2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216CAA2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0F686373" w14:textId="77777777" w:rsidR="00834563" w:rsidRDefault="00834563">
      <w:pPr>
        <w:pStyle w:val="1"/>
        <w:keepNext w:val="0"/>
        <w:widowControl w:val="0"/>
        <w:jc w:val="left"/>
        <w:rPr>
          <w:b w:val="0"/>
          <w:sz w:val="18"/>
          <w:szCs w:val="18"/>
        </w:rPr>
      </w:pPr>
    </w:p>
    <w:p w14:paraId="32BBE7E7" w14:textId="77777777" w:rsidR="00834563" w:rsidRDefault="00834563">
      <w:pPr>
        <w:pStyle w:val="1"/>
        <w:keepNext w:val="0"/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>. Внесение задатка</w:t>
      </w:r>
    </w:p>
    <w:p w14:paraId="6DBC5A70" w14:textId="77777777" w:rsidR="0030452D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6. </w:t>
      </w:r>
      <w:r w:rsidR="0030452D">
        <w:rPr>
          <w:sz w:val="18"/>
          <w:szCs w:val="18"/>
        </w:rPr>
        <w:t xml:space="preserve">Задаток подлежит внесению на специальный счет Должника согласно следующим реквизитам: получатель: </w:t>
      </w:r>
      <w:r w:rsidR="0030452D" w:rsidRPr="009D32E1">
        <w:rPr>
          <w:sz w:val="18"/>
          <w:szCs w:val="18"/>
        </w:rPr>
        <w:t>ООО «</w:t>
      </w:r>
      <w:r w:rsidR="0030452D" w:rsidRPr="002A21BC">
        <w:rPr>
          <w:sz w:val="18"/>
          <w:szCs w:val="18"/>
        </w:rPr>
        <w:t>ЗАО ТРЕК-Э КОМПОЗИТ</w:t>
      </w:r>
      <w:r w:rsidR="0030452D" w:rsidRPr="009D32E1">
        <w:rPr>
          <w:sz w:val="18"/>
          <w:szCs w:val="18"/>
        </w:rPr>
        <w:t xml:space="preserve">» </w:t>
      </w:r>
      <w:r w:rsidR="0030452D" w:rsidRPr="00B70D6A">
        <w:rPr>
          <w:sz w:val="18"/>
          <w:szCs w:val="18"/>
        </w:rPr>
        <w:t xml:space="preserve">(ИНН </w:t>
      </w:r>
      <w:r w:rsidR="0030452D" w:rsidRPr="009337C8">
        <w:rPr>
          <w:sz w:val="18"/>
          <w:szCs w:val="18"/>
        </w:rPr>
        <w:t>7709467623</w:t>
      </w:r>
      <w:r w:rsidR="0030452D" w:rsidRPr="00B70D6A">
        <w:rPr>
          <w:sz w:val="18"/>
          <w:szCs w:val="18"/>
        </w:rPr>
        <w:t xml:space="preserve">, ОГРН </w:t>
      </w:r>
      <w:r w:rsidR="0030452D" w:rsidRPr="009337C8">
        <w:rPr>
          <w:sz w:val="18"/>
          <w:szCs w:val="18"/>
        </w:rPr>
        <w:t>1157746832583</w:t>
      </w:r>
      <w:r w:rsidR="0030452D" w:rsidRPr="00B70D6A">
        <w:rPr>
          <w:sz w:val="18"/>
          <w:szCs w:val="18"/>
        </w:rPr>
        <w:t xml:space="preserve">), </w:t>
      </w:r>
      <w:r w:rsidR="0030452D">
        <w:rPr>
          <w:sz w:val="18"/>
          <w:szCs w:val="18"/>
        </w:rPr>
        <w:t>б</w:t>
      </w:r>
      <w:r w:rsidR="0030452D" w:rsidRPr="009337C8">
        <w:rPr>
          <w:sz w:val="18"/>
          <w:szCs w:val="18"/>
        </w:rPr>
        <w:t xml:space="preserve">анк получателя: ПАО СБЕРБАНК, БИК 044525225, р/с: 40702810440000024986, </w:t>
      </w:r>
      <w:proofErr w:type="spellStart"/>
      <w:r w:rsidR="0030452D">
        <w:rPr>
          <w:sz w:val="18"/>
          <w:szCs w:val="18"/>
        </w:rPr>
        <w:t>корр</w:t>
      </w:r>
      <w:proofErr w:type="spellEnd"/>
      <w:r w:rsidR="0030452D">
        <w:rPr>
          <w:sz w:val="18"/>
          <w:szCs w:val="18"/>
        </w:rPr>
        <w:t>/</w:t>
      </w:r>
      <w:proofErr w:type="spellStart"/>
      <w:r w:rsidR="0030452D">
        <w:rPr>
          <w:sz w:val="18"/>
          <w:szCs w:val="18"/>
        </w:rPr>
        <w:t>сч</w:t>
      </w:r>
      <w:proofErr w:type="spellEnd"/>
      <w:r w:rsidR="0030452D">
        <w:rPr>
          <w:sz w:val="18"/>
          <w:szCs w:val="18"/>
        </w:rPr>
        <w:t xml:space="preserve"> 30101810400000000225</w:t>
      </w:r>
      <w:r w:rsidR="0030452D" w:rsidRPr="00B70D6A">
        <w:rPr>
          <w:sz w:val="18"/>
          <w:szCs w:val="18"/>
        </w:rPr>
        <w:t xml:space="preserve">; </w:t>
      </w:r>
      <w:r w:rsidR="0030452D" w:rsidRPr="00275EE8">
        <w:rPr>
          <w:sz w:val="18"/>
          <w:szCs w:val="18"/>
        </w:rPr>
        <w:t>назначение платежа: «Задаток за участие в торгах №_ по продаже лота №_, без НДС</w:t>
      </w:r>
      <w:r w:rsidR="0030452D" w:rsidRPr="00275EE8">
        <w:rPr>
          <w:bCs/>
          <w:sz w:val="18"/>
          <w:szCs w:val="18"/>
        </w:rPr>
        <w:t>».</w:t>
      </w:r>
    </w:p>
    <w:p w14:paraId="6DE66C8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3BDD6768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14:paraId="37D4D2D4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</w:t>
      </w:r>
      <w:r w:rsidR="00C748C9">
        <w:rPr>
          <w:sz w:val="18"/>
          <w:szCs w:val="18"/>
        </w:rPr>
        <w:t xml:space="preserve"> банка</w:t>
      </w:r>
      <w:r>
        <w:rPr>
          <w:sz w:val="18"/>
          <w:szCs w:val="18"/>
        </w:rPr>
        <w:t xml:space="preserve"> обслуживающего специальный счет Должника.</w:t>
      </w:r>
    </w:p>
    <w:p w14:paraId="7AA8E4E1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3C619216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062E23B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IV</w:t>
      </w:r>
      <w:r>
        <w:rPr>
          <w:b/>
          <w:sz w:val="18"/>
          <w:szCs w:val="18"/>
        </w:rPr>
        <w:t>. Возврат денежных средств</w:t>
      </w:r>
    </w:p>
    <w:p w14:paraId="331C2501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11. Должник обязуется возвратить на расчетный счет Заявителя денежные средства в размере уплаченного Заявителем задатка не позднее 5 (</w:t>
      </w:r>
      <w:r w:rsidR="00D9692E">
        <w:rPr>
          <w:sz w:val="18"/>
          <w:szCs w:val="18"/>
        </w:rPr>
        <w:t>п</w:t>
      </w:r>
      <w:r>
        <w:rPr>
          <w:sz w:val="18"/>
          <w:szCs w:val="18"/>
        </w:rPr>
        <w:t>яти) рабочих дней с даты опубликования Протокола о результатах проведения торгов:</w:t>
      </w:r>
    </w:p>
    <w:p w14:paraId="59C459D3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5CB6D1E9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C9FC4D0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11.3. Если Заявителю будет отказано в допуске к участию в торгах;</w:t>
      </w:r>
    </w:p>
    <w:p w14:paraId="484E525A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11.4. Если Заявитель не признан победителем торгов;</w:t>
      </w:r>
    </w:p>
    <w:p w14:paraId="7FBA2B05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11.5. Если торги отменены Организатором торгов;</w:t>
      </w:r>
    </w:p>
    <w:p w14:paraId="24116756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11.6. Если торги признаны несостоявшимися.</w:t>
      </w:r>
    </w:p>
    <w:p w14:paraId="4AB62648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12. Денежные средства в размере уплаченного Заявителем задатка не возвращаются, если Заявитель, признанный </w:t>
      </w:r>
      <w:r>
        <w:rPr>
          <w:sz w:val="18"/>
          <w:szCs w:val="18"/>
        </w:rPr>
        <w:lastRenderedPageBreak/>
        <w:t>победителем торгов, уклоняется или отказывается от заключения договора купли-продажи имущества.</w:t>
      </w:r>
    </w:p>
    <w:p w14:paraId="48E78268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748298FC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Заключительные положения</w:t>
      </w:r>
    </w:p>
    <w:p w14:paraId="5133E725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4F3749FC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 Настоящий Договор считается заключенным:</w:t>
      </w:r>
    </w:p>
    <w:p w14:paraId="171E36B2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</w:t>
      </w:r>
      <w:r w:rsidR="00D9692E">
        <w:rPr>
          <w:bCs/>
          <w:sz w:val="18"/>
          <w:szCs w:val="18"/>
        </w:rPr>
        <w:t>.</w:t>
      </w:r>
    </w:p>
    <w:p w14:paraId="7D24FE96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14.2. С момента поступления </w:t>
      </w:r>
      <w:r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F47BBFA" w14:textId="77777777" w:rsidR="00834563" w:rsidRDefault="00834563">
      <w:pPr>
        <w:pStyle w:val="HTML0"/>
        <w:widowControl w:val="0"/>
        <w:ind w:firstLine="709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4E03267C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14:paraId="69E83385" w14:textId="77777777" w:rsidR="00834563" w:rsidRDefault="00834563">
      <w:pPr>
        <w:pStyle w:val="31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694D71" w:rsidRPr="00275EE8">
        <w:rPr>
          <w:color w:val="000000"/>
          <w:sz w:val="18"/>
          <w:szCs w:val="18"/>
          <w:lang w:eastAsia="ru-RU"/>
        </w:rPr>
        <w:t>Карачаево-Черкесской Республики</w:t>
      </w:r>
      <w:r>
        <w:rPr>
          <w:sz w:val="18"/>
          <w:szCs w:val="18"/>
        </w:rPr>
        <w:t>.</w:t>
      </w:r>
    </w:p>
    <w:p w14:paraId="0C0D524E" w14:textId="77777777" w:rsidR="00834563" w:rsidRDefault="00834563">
      <w:pPr>
        <w:widowControl w:val="0"/>
        <w:jc w:val="both"/>
        <w:rPr>
          <w:sz w:val="18"/>
          <w:szCs w:val="1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554"/>
        <w:gridCol w:w="2124"/>
      </w:tblGrid>
      <w:tr w:rsidR="00834563" w14:paraId="20C42FFA" w14:textId="77777777" w:rsidTr="00694D71">
        <w:trPr>
          <w:trHeight w:val="411"/>
        </w:trPr>
        <w:tc>
          <w:tcPr>
            <w:tcW w:w="4678" w:type="dxa"/>
            <w:gridSpan w:val="2"/>
          </w:tcPr>
          <w:p w14:paraId="761B3DC5" w14:textId="77777777" w:rsidR="00834563" w:rsidRDefault="00834563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678" w:type="dxa"/>
            <w:gridSpan w:val="2"/>
          </w:tcPr>
          <w:p w14:paraId="0E1D9AB1" w14:textId="77777777" w:rsidR="00834563" w:rsidRPr="00181A22" w:rsidRDefault="00181A22" w:rsidP="00181A2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81A22">
              <w:rPr>
                <w:b/>
                <w:sz w:val="18"/>
                <w:szCs w:val="18"/>
              </w:rPr>
              <w:t>ЗАЯВИТЕЛЬ</w:t>
            </w:r>
          </w:p>
        </w:tc>
      </w:tr>
      <w:tr w:rsidR="004B67F4" w14:paraId="5DEC19D7" w14:textId="77777777" w:rsidTr="00694D71">
        <w:trPr>
          <w:trHeight w:val="52"/>
        </w:trPr>
        <w:tc>
          <w:tcPr>
            <w:tcW w:w="4678" w:type="dxa"/>
            <w:gridSpan w:val="2"/>
          </w:tcPr>
          <w:p w14:paraId="21713BBA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275EE8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>«</w:t>
            </w:r>
            <w:r w:rsidRPr="00A2605D">
              <w:rPr>
                <w:sz w:val="18"/>
                <w:szCs w:val="18"/>
              </w:rPr>
              <w:t>ЗАО ТРЕК-Э КОМПОЗИТ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gridSpan w:val="2"/>
          </w:tcPr>
          <w:p w14:paraId="100D0100" w14:textId="77777777" w:rsidR="004B67F4" w:rsidRDefault="004B67F4" w:rsidP="004B67F4">
            <w:pPr>
              <w:widowControl w:val="0"/>
              <w:snapToGrid w:val="0"/>
              <w:jc w:val="center"/>
            </w:pPr>
          </w:p>
        </w:tc>
      </w:tr>
      <w:tr w:rsidR="004B67F4" w14:paraId="017A0755" w14:textId="77777777" w:rsidTr="00694D71">
        <w:trPr>
          <w:trHeight w:val="279"/>
        </w:trPr>
        <w:tc>
          <w:tcPr>
            <w:tcW w:w="4678" w:type="dxa"/>
            <w:gridSpan w:val="2"/>
          </w:tcPr>
          <w:p w14:paraId="45A839D4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A2605D">
              <w:rPr>
                <w:sz w:val="18"/>
                <w:szCs w:val="18"/>
              </w:rPr>
              <w:t xml:space="preserve">109028, </w:t>
            </w:r>
            <w:r>
              <w:rPr>
                <w:sz w:val="18"/>
                <w:szCs w:val="18"/>
              </w:rPr>
              <w:t>г.</w:t>
            </w:r>
            <w:r w:rsidRPr="00A2605D">
              <w:rPr>
                <w:sz w:val="18"/>
                <w:szCs w:val="18"/>
              </w:rPr>
              <w:t xml:space="preserve"> Москва, </w:t>
            </w:r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 xml:space="preserve">ер. Хохловский, </w:t>
            </w:r>
            <w:r>
              <w:rPr>
                <w:sz w:val="18"/>
                <w:szCs w:val="18"/>
              </w:rPr>
              <w:t>д</w:t>
            </w:r>
            <w:r w:rsidRPr="00A2605D">
              <w:rPr>
                <w:sz w:val="18"/>
                <w:szCs w:val="18"/>
              </w:rPr>
              <w:t xml:space="preserve">. 13, </w:t>
            </w:r>
            <w:r>
              <w:rPr>
                <w:sz w:val="18"/>
                <w:szCs w:val="18"/>
              </w:rPr>
              <w:t>с</w:t>
            </w:r>
            <w:r w:rsidRPr="00A2605D">
              <w:rPr>
                <w:sz w:val="18"/>
                <w:szCs w:val="18"/>
              </w:rPr>
              <w:t xml:space="preserve">тр. 1, </w:t>
            </w:r>
            <w:proofErr w:type="spellStart"/>
            <w:r>
              <w:rPr>
                <w:sz w:val="18"/>
                <w:szCs w:val="18"/>
              </w:rPr>
              <w:t>э</w:t>
            </w:r>
            <w:r w:rsidRPr="00A2605D">
              <w:rPr>
                <w:sz w:val="18"/>
                <w:szCs w:val="18"/>
              </w:rPr>
              <w:t>т</w:t>
            </w:r>
            <w:proofErr w:type="spellEnd"/>
            <w:r w:rsidRPr="00A260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</w:t>
            </w:r>
            <w:r w:rsidRPr="00A2605D">
              <w:rPr>
                <w:sz w:val="18"/>
                <w:szCs w:val="18"/>
              </w:rPr>
              <w:t xml:space="preserve">ок </w:t>
            </w:r>
            <w:proofErr w:type="spellStart"/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>ом</w:t>
            </w:r>
            <w:proofErr w:type="spellEnd"/>
            <w:r w:rsidRPr="00A2605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к</w:t>
            </w:r>
            <w:r w:rsidRPr="00A2605D">
              <w:rPr>
                <w:sz w:val="18"/>
                <w:szCs w:val="18"/>
              </w:rPr>
              <w:t>ом 26;26А;27;27А</w:t>
            </w:r>
          </w:p>
        </w:tc>
        <w:tc>
          <w:tcPr>
            <w:tcW w:w="4678" w:type="dxa"/>
            <w:gridSpan w:val="2"/>
          </w:tcPr>
          <w:p w14:paraId="61BF42FE" w14:textId="77777777" w:rsidR="004B67F4" w:rsidRDefault="004B67F4" w:rsidP="004B67F4">
            <w:pPr>
              <w:widowControl w:val="0"/>
              <w:jc w:val="both"/>
            </w:pPr>
          </w:p>
        </w:tc>
      </w:tr>
      <w:tr w:rsidR="004B67F4" w:rsidRPr="00537F73" w14:paraId="35827EF2" w14:textId="77777777" w:rsidTr="00694D71">
        <w:trPr>
          <w:trHeight w:val="52"/>
        </w:trPr>
        <w:tc>
          <w:tcPr>
            <w:tcW w:w="4678" w:type="dxa"/>
            <w:gridSpan w:val="2"/>
          </w:tcPr>
          <w:p w14:paraId="4178016D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A2605D">
              <w:rPr>
                <w:sz w:val="18"/>
                <w:szCs w:val="18"/>
              </w:rPr>
              <w:t>1157746832583</w:t>
            </w:r>
          </w:p>
          <w:p w14:paraId="33DB7942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A2605D">
              <w:rPr>
                <w:sz w:val="18"/>
                <w:szCs w:val="18"/>
              </w:rPr>
              <w:t>7709467623</w:t>
            </w:r>
          </w:p>
          <w:p w14:paraId="05C7A2EF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A2605D">
              <w:rPr>
                <w:sz w:val="18"/>
                <w:szCs w:val="18"/>
              </w:rPr>
              <w:t>770901001</w:t>
            </w:r>
          </w:p>
          <w:p w14:paraId="56C26903" w14:textId="77777777" w:rsidR="004B67F4" w:rsidRP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B67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4B67F4">
              <w:rPr>
                <w:sz w:val="18"/>
                <w:szCs w:val="18"/>
              </w:rPr>
              <w:t xml:space="preserve">: </w:t>
            </w:r>
            <w:proofErr w:type="spellStart"/>
            <w:r w:rsidRPr="00A2605D">
              <w:rPr>
                <w:sz w:val="18"/>
                <w:szCs w:val="18"/>
                <w:lang w:val="en-US"/>
              </w:rPr>
              <w:t>trekkomp</w:t>
            </w:r>
            <w:proofErr w:type="spellEnd"/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bk</w:t>
            </w:r>
            <w:r w:rsidRPr="004B67F4">
              <w:rPr>
                <w:sz w:val="18"/>
                <w:szCs w:val="18"/>
              </w:rPr>
              <w:t>@</w:t>
            </w:r>
            <w:proofErr w:type="spellStart"/>
            <w:r w:rsidRPr="00A2605D">
              <w:rPr>
                <w:sz w:val="18"/>
                <w:szCs w:val="18"/>
                <w:lang w:val="en-US"/>
              </w:rPr>
              <w:t>gmail</w:t>
            </w:r>
            <w:proofErr w:type="spellEnd"/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com</w:t>
            </w:r>
          </w:p>
          <w:p w14:paraId="7B438F26" w14:textId="77777777" w:rsidR="004B67F4" w:rsidRPr="004B67F4" w:rsidRDefault="004B67F4" w:rsidP="004B67F4">
            <w:pPr>
              <w:widowControl w:val="0"/>
            </w:pPr>
          </w:p>
          <w:p w14:paraId="69D796B2" w14:textId="77777777" w:rsidR="004B67F4" w:rsidRPr="00537F73" w:rsidRDefault="004B67F4" w:rsidP="004B67F4">
            <w:pPr>
              <w:widowControl w:val="0"/>
              <w:rPr>
                <w:sz w:val="18"/>
              </w:rPr>
            </w:pPr>
            <w:r w:rsidRPr="00537F73">
              <w:rPr>
                <w:sz w:val="18"/>
              </w:rPr>
              <w:t>Реквизиты:</w:t>
            </w:r>
          </w:p>
          <w:p w14:paraId="0EBD081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</w:t>
            </w:r>
            <w:r w:rsidRPr="00A2605D">
              <w:rPr>
                <w:sz w:val="18"/>
              </w:rPr>
              <w:t>анк получателя: ПАО СБЕРБАНК</w:t>
            </w:r>
          </w:p>
          <w:p w14:paraId="04EC9455" w14:textId="77777777" w:rsidR="004B67F4" w:rsidRDefault="004B67F4" w:rsidP="004B67F4">
            <w:pPr>
              <w:widowControl w:val="0"/>
              <w:rPr>
                <w:sz w:val="18"/>
              </w:rPr>
            </w:pPr>
            <w:r w:rsidRPr="00A2605D">
              <w:rPr>
                <w:sz w:val="18"/>
              </w:rPr>
              <w:t>БИК 044525225</w:t>
            </w:r>
          </w:p>
          <w:p w14:paraId="03032DE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A2605D">
              <w:rPr>
                <w:sz w:val="18"/>
              </w:rPr>
              <w:t xml:space="preserve">/с: 40702810440000024986, </w:t>
            </w:r>
          </w:p>
          <w:p w14:paraId="2C0523DB" w14:textId="77777777" w:rsidR="004B67F4" w:rsidRPr="00537F73" w:rsidRDefault="004B67F4" w:rsidP="004B67F4">
            <w:pPr>
              <w:widowControl w:val="0"/>
            </w:pPr>
            <w:r>
              <w:rPr>
                <w:sz w:val="18"/>
              </w:rPr>
              <w:t>К</w:t>
            </w:r>
            <w:r w:rsidRPr="00A2605D">
              <w:rPr>
                <w:sz w:val="18"/>
              </w:rPr>
              <w:t>ор/</w:t>
            </w:r>
            <w:proofErr w:type="spellStart"/>
            <w:r w:rsidRPr="00A2605D">
              <w:rPr>
                <w:sz w:val="18"/>
              </w:rPr>
              <w:t>сч</w:t>
            </w:r>
            <w:proofErr w:type="spellEnd"/>
            <w:r>
              <w:rPr>
                <w:sz w:val="18"/>
              </w:rPr>
              <w:t>:</w:t>
            </w:r>
            <w:r w:rsidRPr="00A2605D"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30101810400000000225</w:t>
            </w:r>
          </w:p>
        </w:tc>
        <w:tc>
          <w:tcPr>
            <w:tcW w:w="4678" w:type="dxa"/>
            <w:gridSpan w:val="2"/>
          </w:tcPr>
          <w:p w14:paraId="5C3D44BA" w14:textId="77777777" w:rsidR="004B67F4" w:rsidRPr="00537F73" w:rsidRDefault="004B67F4" w:rsidP="004B67F4">
            <w:pPr>
              <w:widowControl w:val="0"/>
              <w:jc w:val="both"/>
            </w:pPr>
          </w:p>
        </w:tc>
      </w:tr>
      <w:tr w:rsidR="004B67F4" w14:paraId="1F3A9E07" w14:textId="77777777" w:rsidTr="00694D71">
        <w:trPr>
          <w:trHeight w:val="525"/>
        </w:trPr>
        <w:tc>
          <w:tcPr>
            <w:tcW w:w="4678" w:type="dxa"/>
            <w:gridSpan w:val="2"/>
          </w:tcPr>
          <w:p w14:paraId="6A4CC88D" w14:textId="77777777" w:rsidR="004B67F4" w:rsidRPr="00537F73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EB6C3BC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Конкурсный управляющий</w:t>
            </w:r>
          </w:p>
          <w:p w14:paraId="647FB619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279BCC5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634B8351" w14:textId="4EB770E9" w:rsidR="004B67F4" w:rsidRDefault="004B67F4" w:rsidP="004B67F4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                                  /А.С. Шульженко                  </w:t>
            </w:r>
            <w:r w:rsidR="007E68F0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678" w:type="dxa"/>
            <w:gridSpan w:val="2"/>
          </w:tcPr>
          <w:p w14:paraId="62F9ABA4" w14:textId="77777777" w:rsidR="004B67F4" w:rsidRDefault="004B67F4" w:rsidP="004B67F4">
            <w:pPr>
              <w:widowControl w:val="0"/>
              <w:snapToGrid w:val="0"/>
              <w:ind w:left="235"/>
            </w:pPr>
          </w:p>
        </w:tc>
      </w:tr>
      <w:tr w:rsidR="00834563" w14:paraId="5747F33A" w14:textId="77777777" w:rsidTr="00694D71">
        <w:trPr>
          <w:trHeight w:val="52"/>
        </w:trPr>
        <w:tc>
          <w:tcPr>
            <w:tcW w:w="2447" w:type="dxa"/>
            <w:tcBorders>
              <w:top w:val="single" w:sz="4" w:space="0" w:color="000000"/>
            </w:tcBorders>
          </w:tcPr>
          <w:p w14:paraId="26CD3827" w14:textId="77777777" w:rsidR="00834563" w:rsidRDefault="00834563">
            <w:pPr>
              <w:widowControl w:val="0"/>
              <w:jc w:val="both"/>
            </w:pPr>
          </w:p>
        </w:tc>
        <w:tc>
          <w:tcPr>
            <w:tcW w:w="2231" w:type="dxa"/>
          </w:tcPr>
          <w:p w14:paraId="29F00031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14:paraId="77443156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0E25B2C5" w14:textId="77777777" w:rsidR="00834563" w:rsidRDefault="00834563">
            <w:pPr>
              <w:widowControl w:val="0"/>
              <w:snapToGrid w:val="0"/>
              <w:jc w:val="center"/>
            </w:pPr>
          </w:p>
        </w:tc>
      </w:tr>
      <w:tr w:rsidR="00834563" w14:paraId="16AE17DF" w14:textId="77777777" w:rsidTr="00694D71">
        <w:trPr>
          <w:trHeight w:val="52"/>
        </w:trPr>
        <w:tc>
          <w:tcPr>
            <w:tcW w:w="2447" w:type="dxa"/>
          </w:tcPr>
          <w:p w14:paraId="7E4AD2BB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231" w:type="dxa"/>
          </w:tcPr>
          <w:p w14:paraId="178347E6" w14:textId="77777777" w:rsidR="00834563" w:rsidRDefault="00834563">
            <w:pPr>
              <w:widowControl w:val="0"/>
              <w:jc w:val="center"/>
            </w:pPr>
          </w:p>
        </w:tc>
        <w:tc>
          <w:tcPr>
            <w:tcW w:w="2554" w:type="dxa"/>
          </w:tcPr>
          <w:p w14:paraId="2269EEB1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54F6AF40" w14:textId="77777777" w:rsidR="00834563" w:rsidRDefault="00834563">
            <w:pPr>
              <w:widowControl w:val="0"/>
              <w:jc w:val="center"/>
            </w:pPr>
          </w:p>
        </w:tc>
      </w:tr>
    </w:tbl>
    <w:p w14:paraId="2FD695E3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5640F111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146CFD95" w14:textId="77777777" w:rsidR="00834563" w:rsidRDefault="00834563">
      <w:pPr>
        <w:widowControl w:val="0"/>
        <w:jc w:val="both"/>
      </w:pPr>
    </w:p>
    <w:sectPr w:rsidR="008345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434E" w14:textId="77777777" w:rsidR="009978D7" w:rsidRDefault="009978D7">
      <w:r>
        <w:separator/>
      </w:r>
    </w:p>
  </w:endnote>
  <w:endnote w:type="continuationSeparator" w:id="0">
    <w:p w14:paraId="1DCA62CE" w14:textId="77777777" w:rsidR="009978D7" w:rsidRDefault="0099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4BBC" w14:textId="77777777" w:rsidR="00834563" w:rsidRDefault="008345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516" w14:textId="77777777" w:rsidR="00834563" w:rsidRDefault="008345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A198" w14:textId="77777777" w:rsidR="009978D7" w:rsidRDefault="009978D7">
      <w:r>
        <w:separator/>
      </w:r>
    </w:p>
  </w:footnote>
  <w:footnote w:type="continuationSeparator" w:id="0">
    <w:p w14:paraId="0C23F012" w14:textId="77777777" w:rsidR="009978D7" w:rsidRDefault="0099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897F" w14:textId="77777777" w:rsidR="00834563" w:rsidRDefault="00834563">
    <w:pPr>
      <w:pStyle w:val="ac"/>
      <w:jc w:val="center"/>
      <w:rPr>
        <w:rFonts w:ascii="Calibri" w:hAnsi="Calibri"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2</w:t>
    </w:r>
    <w:r>
      <w:rPr>
        <w:rFonts w:cs="Calibri"/>
      </w:rPr>
      <w:fldChar w:fldCharType="end"/>
    </w:r>
  </w:p>
  <w:p w14:paraId="3BF3B5AA" w14:textId="77777777" w:rsidR="00834563" w:rsidRDefault="00834563">
    <w:pPr>
      <w:pStyle w:val="ac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B1F" w14:textId="77777777" w:rsidR="00834563" w:rsidRDefault="008345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F03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3429626">
    <w:abstractNumId w:val="0"/>
  </w:num>
  <w:num w:numId="2" w16cid:durableId="140109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2"/>
    <w:rsid w:val="000112BA"/>
    <w:rsid w:val="000606F1"/>
    <w:rsid w:val="00082E6B"/>
    <w:rsid w:val="000E3517"/>
    <w:rsid w:val="00111D28"/>
    <w:rsid w:val="0014149A"/>
    <w:rsid w:val="001469F0"/>
    <w:rsid w:val="00181A22"/>
    <w:rsid w:val="00190B56"/>
    <w:rsid w:val="001E110E"/>
    <w:rsid w:val="00200597"/>
    <w:rsid w:val="00275EE8"/>
    <w:rsid w:val="0030452D"/>
    <w:rsid w:val="003C332E"/>
    <w:rsid w:val="0047518B"/>
    <w:rsid w:val="004B67F4"/>
    <w:rsid w:val="004E3D0A"/>
    <w:rsid w:val="004F23C4"/>
    <w:rsid w:val="00537F73"/>
    <w:rsid w:val="00542DFF"/>
    <w:rsid w:val="0055016C"/>
    <w:rsid w:val="0059604B"/>
    <w:rsid w:val="005D0632"/>
    <w:rsid w:val="00626D9E"/>
    <w:rsid w:val="00673602"/>
    <w:rsid w:val="00694D71"/>
    <w:rsid w:val="006A5185"/>
    <w:rsid w:val="007216B3"/>
    <w:rsid w:val="007323DB"/>
    <w:rsid w:val="007E68F0"/>
    <w:rsid w:val="00812089"/>
    <w:rsid w:val="00834563"/>
    <w:rsid w:val="00891C0B"/>
    <w:rsid w:val="00944678"/>
    <w:rsid w:val="00947338"/>
    <w:rsid w:val="00950BC2"/>
    <w:rsid w:val="009707E3"/>
    <w:rsid w:val="009978D7"/>
    <w:rsid w:val="009C5CA2"/>
    <w:rsid w:val="009D32E1"/>
    <w:rsid w:val="009E124C"/>
    <w:rsid w:val="00A24E85"/>
    <w:rsid w:val="00A815BF"/>
    <w:rsid w:val="00AC69F6"/>
    <w:rsid w:val="00B70D6A"/>
    <w:rsid w:val="00BA7D35"/>
    <w:rsid w:val="00BF0D9E"/>
    <w:rsid w:val="00C748C9"/>
    <w:rsid w:val="00CD2E07"/>
    <w:rsid w:val="00D9692E"/>
    <w:rsid w:val="00DE5A5F"/>
    <w:rsid w:val="00E027C7"/>
    <w:rsid w:val="00E33BB1"/>
    <w:rsid w:val="00EA35E1"/>
    <w:rsid w:val="00EA7A59"/>
    <w:rsid w:val="00EB7FE7"/>
    <w:rsid w:val="00ED3786"/>
    <w:rsid w:val="00F54620"/>
    <w:rsid w:val="00F574F4"/>
    <w:rsid w:val="00F628AA"/>
    <w:rsid w:val="00F93D7D"/>
    <w:rsid w:val="00FC227C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16C931"/>
  <w15:chartTrackingRefBased/>
  <w15:docId w15:val="{991A1B40-D510-4875-AAFD-ACABB156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68" w:firstLine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" w:hAnsi="Courier" w:cs="Courier" w:hint="default"/>
      <w:b/>
      <w:i/>
      <w:sz w:val="24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" w:hAnsi="Courier" w:cs="Courier" w:hint="default"/>
      <w:b/>
      <w:i/>
      <w:sz w:val="24"/>
      <w:u w:val="none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Courier" w:hAnsi="Courier" w:cs="Courier" w:hint="default"/>
      <w:b/>
      <w:i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</w:style>
  <w:style w:type="character" w:customStyle="1" w:styleId="11">
    <w:name w:val="Заголовок 1 Знак"/>
    <w:rPr>
      <w:b/>
      <w:sz w:val="26"/>
    </w:rPr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">
    <w:name w:val="Основной текст с отступом 3 Знак"/>
    <w:rPr>
      <w:sz w:val="24"/>
      <w:szCs w:val="24"/>
    </w:rPr>
  </w:style>
  <w:style w:type="paragraph" w:customStyle="1" w:styleId="12">
    <w:name w:val="Заголовок1"/>
    <w:basedOn w:val="a"/>
    <w:next w:val="a7"/>
    <w:pPr>
      <w:ind w:right="368"/>
      <w:jc w:val="center"/>
    </w:pPr>
    <w:rPr>
      <w:b/>
      <w:szCs w:val="20"/>
    </w:rPr>
  </w:style>
  <w:style w:type="paragraph" w:styleId="a7">
    <w:name w:val="Body Text"/>
    <w:aliases w:val="Знак Знак1"/>
    <w:basedOn w:val="a"/>
    <w:link w:val="a8"/>
    <w:pPr>
      <w:ind w:right="368"/>
      <w:jc w:val="both"/>
    </w:pPr>
    <w:rPr>
      <w:szCs w:val="20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  <w:suppressAutoHyphens/>
    </w:pPr>
    <w:rPr>
      <w:rFonts w:ascii="Antiqua" w:hAnsi="Antiqua" w:cs="Antiqua"/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Основной текст Знак"/>
    <w:aliases w:val="Знак Знак1 Знак"/>
    <w:link w:val="a7"/>
    <w:rsid w:val="00BF0D9E"/>
    <w:rPr>
      <w:sz w:val="24"/>
      <w:lang w:eastAsia="zh-CN"/>
    </w:rPr>
  </w:style>
  <w:style w:type="character" w:styleId="af0">
    <w:name w:val="Unresolved Mention"/>
    <w:uiPriority w:val="99"/>
    <w:semiHidden/>
    <w:unhideWhenUsed/>
    <w:rsid w:val="00537F73"/>
    <w:rPr>
      <w:color w:val="605E5C"/>
      <w:shd w:val="clear" w:color="auto" w:fill="E1DFDD"/>
    </w:rPr>
  </w:style>
  <w:style w:type="character" w:customStyle="1" w:styleId="af1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2"/>
    <w:uiPriority w:val="34"/>
    <w:locked/>
    <w:rsid w:val="0030452D"/>
    <w:rPr>
      <w:szCs w:val="21"/>
    </w:rPr>
  </w:style>
  <w:style w:type="paragraph" w:styleId="af2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1"/>
    <w:uiPriority w:val="34"/>
    <w:qFormat/>
    <w:rsid w:val="0030452D"/>
    <w:pPr>
      <w:autoSpaceDN w:val="0"/>
      <w:ind w:left="720"/>
    </w:pPr>
    <w:rPr>
      <w:sz w:val="20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Карамзина Оксана Викторовна</cp:lastModifiedBy>
  <cp:revision>5</cp:revision>
  <cp:lastPrinted>2024-03-11T11:10:00Z</cp:lastPrinted>
  <dcterms:created xsi:type="dcterms:W3CDTF">2025-09-10T13:27:00Z</dcterms:created>
  <dcterms:modified xsi:type="dcterms:W3CDTF">2025-12-16T11:46:00Z</dcterms:modified>
</cp:coreProperties>
</file>