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42940E4F" w14:textId="55E47647" w:rsidR="000A052A" w:rsidRPr="00FF7C37" w:rsidRDefault="00C60FF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0FFC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C60FFC">
        <w:rPr>
          <w:rStyle w:val="paragraph"/>
          <w:rFonts w:ascii="Times New Roman" w:hAnsi="Times New Roman"/>
          <w:sz w:val="18"/>
          <w:szCs w:val="18"/>
        </w:rPr>
        <w:t>Жидиханова</w:t>
      </w:r>
      <w:proofErr w:type="spellEnd"/>
      <w:r w:rsidRPr="00C60FFC">
        <w:rPr>
          <w:rStyle w:val="paragraph"/>
          <w:rFonts w:ascii="Times New Roman" w:hAnsi="Times New Roman"/>
          <w:sz w:val="18"/>
          <w:szCs w:val="18"/>
        </w:rPr>
        <w:t xml:space="preserve"> Рината </w:t>
      </w:r>
      <w:proofErr w:type="spellStart"/>
      <w:r w:rsidRPr="00C60FFC">
        <w:rPr>
          <w:rStyle w:val="paragraph"/>
          <w:rFonts w:ascii="Times New Roman" w:hAnsi="Times New Roman"/>
          <w:sz w:val="18"/>
          <w:szCs w:val="18"/>
        </w:rPr>
        <w:t>Нявиулловича</w:t>
      </w:r>
      <w:proofErr w:type="spellEnd"/>
      <w:r w:rsidRPr="00C60FFC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C60FF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60FFC">
        <w:rPr>
          <w:rStyle w:val="paragraph"/>
          <w:rFonts w:ascii="Times New Roman" w:hAnsi="Times New Roman"/>
          <w:sz w:val="18"/>
          <w:szCs w:val="18"/>
        </w:rPr>
        <w:t xml:space="preserve">./м.р.:03.04.1973, город Москва, СНИЛС 076-302-206 35, ИНН 771533276030, адрес: регистрация по месту жительства: 127410, г. Москва, проезд Черского, дом 15, кв. 59),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C60FF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60FF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C60FFC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C60FFC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города Москвы от 18 декабря 2024 г. по делу № А40-278474/24-152-663Ф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5735B9A" w14:textId="3F450C99" w:rsidR="00C60FFC" w:rsidRPr="00C60FFC" w:rsidRDefault="00C60FF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60FFC">
        <w:rPr>
          <w:rFonts w:ascii="Times New Roman" w:hAnsi="Times New Roman"/>
          <w:i/>
          <w:sz w:val="20"/>
          <w:szCs w:val="20"/>
        </w:rPr>
        <w:t xml:space="preserve">Лот №2: Вид объекта Помещение Кадастровый номер 77:07:0008001:9712 Адрес (местоположение) Российская Федерация, город Москва, </w:t>
      </w:r>
      <w:proofErr w:type="spellStart"/>
      <w:r w:rsidRPr="00C60FFC">
        <w:rPr>
          <w:rFonts w:ascii="Times New Roman" w:hAnsi="Times New Roman"/>
          <w:i/>
          <w:sz w:val="20"/>
          <w:szCs w:val="20"/>
        </w:rPr>
        <w:t>вн.тер.г</w:t>
      </w:r>
      <w:proofErr w:type="spellEnd"/>
      <w:r w:rsidRPr="00C60FFC">
        <w:rPr>
          <w:rFonts w:ascii="Times New Roman" w:hAnsi="Times New Roman"/>
          <w:i/>
          <w:sz w:val="20"/>
          <w:szCs w:val="20"/>
        </w:rPr>
        <w:t xml:space="preserve">. муниципальный округ Можайский, улица </w:t>
      </w:r>
      <w:proofErr w:type="spellStart"/>
      <w:r w:rsidRPr="00C60FFC">
        <w:rPr>
          <w:rFonts w:ascii="Times New Roman" w:hAnsi="Times New Roman"/>
          <w:i/>
          <w:sz w:val="20"/>
          <w:szCs w:val="20"/>
        </w:rPr>
        <w:t>Барвихинская</w:t>
      </w:r>
      <w:proofErr w:type="spellEnd"/>
      <w:r w:rsidRPr="00C60FFC">
        <w:rPr>
          <w:rFonts w:ascii="Times New Roman" w:hAnsi="Times New Roman"/>
          <w:i/>
          <w:sz w:val="20"/>
          <w:szCs w:val="20"/>
        </w:rPr>
        <w:t xml:space="preserve">, дом 4, корпус 2, квартира 335 Площадь, м2 72.6 Номер, тип этажа 13 Этаж Назначение Жилое Вид жилого помещения Квартира </w:t>
      </w:r>
      <w:r w:rsidR="00FF3D74" w:rsidRPr="00FF3D74">
        <w:rPr>
          <w:rFonts w:ascii="Times New Roman" w:hAnsi="Times New Roman"/>
          <w:i/>
          <w:sz w:val="20"/>
          <w:szCs w:val="20"/>
        </w:rPr>
        <w:t>Общая долевая собственность, 1/12</w:t>
      </w:r>
      <w:r w:rsidR="00FF3D74" w:rsidRPr="00FF3D74">
        <w:rPr>
          <w:rFonts w:ascii="Times New Roman" w:hAnsi="Times New Roman"/>
          <w:i/>
          <w:sz w:val="20"/>
          <w:szCs w:val="20"/>
        </w:rPr>
        <w:t xml:space="preserve"> </w:t>
      </w:r>
      <w:bookmarkStart w:id="0" w:name="_GoBack"/>
      <w:bookmarkEnd w:id="0"/>
      <w:r w:rsidRPr="00C60FFC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0EF358DE" w:rsidR="00444125" w:rsidRPr="00C60FFC" w:rsidRDefault="000A052A" w:rsidP="00C60FF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60FF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60FF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60FF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60FF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60FF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60FFC" w:rsidRPr="00C60FFC">
        <w:rPr>
          <w:rStyle w:val="paragraph"/>
          <w:rFonts w:ascii="Times New Roman" w:hAnsi="Times New Roman"/>
          <w:sz w:val="18"/>
          <w:szCs w:val="18"/>
        </w:rPr>
        <w:t xml:space="preserve">ЖИДИХАНОВ РИНАТ НЯВИУЛЛОВИЧ Счет получателя 40817810550201937133 </w:t>
      </w:r>
      <w:r w:rsidR="00BE49EC" w:rsidRPr="00C60FF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C60FF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0FF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60FF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744C3185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C60FFC" w:rsidRPr="00C60FFC">
              <w:rPr>
                <w:i/>
                <w:sz w:val="18"/>
                <w:szCs w:val="18"/>
                <w:lang w:val="ru-RU"/>
              </w:rPr>
              <w:t>Жидиханова</w:t>
            </w:r>
            <w:proofErr w:type="spellEnd"/>
            <w:r w:rsidR="00C60FFC" w:rsidRPr="00C60FFC">
              <w:rPr>
                <w:i/>
                <w:sz w:val="18"/>
                <w:szCs w:val="18"/>
                <w:lang w:val="ru-RU"/>
              </w:rPr>
              <w:t xml:space="preserve"> Рината </w:t>
            </w:r>
            <w:proofErr w:type="spellStart"/>
            <w:r w:rsidR="00C60FFC" w:rsidRPr="00C60FFC">
              <w:rPr>
                <w:i/>
                <w:sz w:val="18"/>
                <w:szCs w:val="18"/>
                <w:lang w:val="ru-RU"/>
              </w:rPr>
              <w:t>Нявиулловича</w:t>
            </w:r>
            <w:proofErr w:type="spellEnd"/>
            <w:r w:rsidR="00C60FFC" w:rsidRPr="00C60FFC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C60FFC" w:rsidRPr="00C60FF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60FFC" w:rsidRPr="00C60FFC">
              <w:rPr>
                <w:i/>
                <w:sz w:val="18"/>
                <w:szCs w:val="18"/>
                <w:lang w:val="ru-RU"/>
              </w:rPr>
              <w:t>./м.р.:03.04.1973, город Москва, СНИЛС 076-302-206 35, ИНН 771533276030, адрес: регистрация по месту жительства: 127410, г. Москва, проезд Черского, дом 15, кв. 59</w:t>
            </w:r>
            <w:r w:rsidRPr="00556918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64DC62F" w14:textId="77777777" w:rsidR="00C60FFC" w:rsidRPr="00C60FFC" w:rsidRDefault="00BE49EC" w:rsidP="00C60FF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C60FFC" w:rsidRPr="00C60FF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ЖИДИХАНОВ РИНАТ НЯВИУЛЛОВИЧ</w:t>
            </w:r>
          </w:p>
          <w:p w14:paraId="5646F455" w14:textId="00B8CB93" w:rsidR="00BE49EC" w:rsidRPr="00BE49EC" w:rsidRDefault="00C60FFC" w:rsidP="00C60FF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60FF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40817810550201937133</w:t>
            </w:r>
          </w:p>
          <w:p w14:paraId="7B183B3D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C60F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60FFC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3D74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2025-09-19T06:38:00Z</dcterms:created>
  <dcterms:modified xsi:type="dcterms:W3CDTF">2025-09-19T06:48:00Z</dcterms:modified>
</cp:coreProperties>
</file>