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E8FB9">
      <w:pPr>
        <w:spacing w:line="240" w:lineRule="atLeas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«УТВЕРЖДЕНО»</w:t>
      </w:r>
    </w:p>
    <w:p w14:paraId="0DCF225A">
      <w:pPr>
        <w:spacing w:line="240" w:lineRule="atLeast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</w:t>
      </w:r>
      <w:r>
        <w:rPr>
          <w:rFonts w:eastAsia="Calibri"/>
          <w:lang w:val="ru-RU" w:eastAsia="en-US"/>
        </w:rPr>
        <w:t>Решением</w:t>
      </w:r>
      <w:r>
        <w:rPr>
          <w:rFonts w:eastAsia="Calibri"/>
          <w:lang w:eastAsia="en-US"/>
        </w:rPr>
        <w:t xml:space="preserve">  </w:t>
      </w:r>
    </w:p>
    <w:p w14:paraId="4728B409">
      <w:pPr>
        <w:spacing w:line="240" w:lineRule="atLeast"/>
        <w:jc w:val="right"/>
        <w:rPr>
          <w:rFonts w:eastAsia="Calibri"/>
          <w:lang w:eastAsia="en-US"/>
        </w:rPr>
      </w:pPr>
      <w:r>
        <w:rPr>
          <w:rFonts w:eastAsia="Calibri"/>
          <w:lang w:val="ru-RU" w:eastAsia="en-US"/>
        </w:rPr>
        <w:t>комитета</w:t>
      </w:r>
      <w:r>
        <w:rPr>
          <w:rFonts w:eastAsia="Calibri"/>
          <w:lang w:eastAsia="en-US"/>
        </w:rPr>
        <w:t xml:space="preserve"> кредиторов </w:t>
      </w:r>
    </w:p>
    <w:p w14:paraId="62674338">
      <w:pPr>
        <w:pStyle w:val="17"/>
        <w:jc w:val="right"/>
        <w:rPr>
          <w:b/>
          <w:bCs/>
        </w:rPr>
      </w:pPr>
      <w:r>
        <w:rPr>
          <w:b/>
          <w:bCs/>
          <w:lang w:val="ru-RU"/>
        </w:rPr>
        <w:t>ОО</w:t>
      </w:r>
      <w:r>
        <w:rPr>
          <w:b/>
          <w:bCs/>
        </w:rPr>
        <w:t xml:space="preserve">О </w:t>
      </w:r>
      <w:r>
        <w:rPr>
          <w:rFonts w:hint="default"/>
          <w:b/>
          <w:bCs/>
          <w:lang w:val="ru-RU"/>
        </w:rPr>
        <w:t>«РИК»</w:t>
      </w:r>
    </w:p>
    <w:p w14:paraId="1FE06D7C">
      <w:pPr>
        <w:spacing w:line="240" w:lineRule="atLeast"/>
        <w:jc w:val="right"/>
        <w:rPr>
          <w:rFonts w:hint="default" w:eastAsia="Calibri"/>
          <w:lang w:val="ru-RU" w:eastAsia="en-US"/>
        </w:rPr>
      </w:pPr>
      <w:r>
        <w:rPr>
          <w:rFonts w:hint="default"/>
          <w:b/>
          <w:bCs/>
          <w:lang w:val="ru-RU"/>
        </w:rPr>
        <w:t>06</w:t>
      </w:r>
      <w:r>
        <w:rPr>
          <w:b/>
          <w:bCs/>
        </w:rPr>
        <w:t>.1</w:t>
      </w:r>
      <w:r>
        <w:rPr>
          <w:rFonts w:hint="default"/>
          <w:b/>
          <w:bCs/>
          <w:lang w:val="ru-RU"/>
        </w:rPr>
        <w:t>2</w:t>
      </w:r>
      <w:r>
        <w:rPr>
          <w:b/>
          <w:bCs/>
        </w:rPr>
        <w:t>.202</w:t>
      </w:r>
      <w:r>
        <w:rPr>
          <w:rFonts w:hint="default"/>
          <w:b/>
          <w:bCs/>
          <w:lang w:val="ru-RU"/>
        </w:rPr>
        <w:t>4</w:t>
      </w:r>
    </w:p>
    <w:p w14:paraId="51A96712">
      <w:pPr>
        <w:autoSpaceDE w:val="0"/>
        <w:autoSpaceDN w:val="0"/>
        <w:adjustRightInd w:val="0"/>
        <w:spacing w:line="240" w:lineRule="atLeast"/>
        <w:ind w:left="5670"/>
        <w:jc w:val="right"/>
        <w:rPr>
          <w:b/>
        </w:rPr>
      </w:pPr>
    </w:p>
    <w:p w14:paraId="3B1E601E">
      <w:pPr>
        <w:autoSpaceDE w:val="0"/>
        <w:autoSpaceDN w:val="0"/>
        <w:adjustRightInd w:val="0"/>
        <w:spacing w:line="240" w:lineRule="atLeast"/>
        <w:ind w:left="180" w:hanging="180"/>
        <w:jc w:val="center"/>
        <w:rPr>
          <w:b/>
        </w:rPr>
      </w:pPr>
      <w:r>
        <w:rPr>
          <w:b/>
        </w:rPr>
        <w:t>П</w:t>
      </w:r>
      <w:r>
        <w:rPr>
          <w:b/>
          <w:lang w:val="ru-RU"/>
        </w:rPr>
        <w:t>ОЛОЖЕНИЕ</w:t>
      </w:r>
      <w:bookmarkStart w:id="0" w:name="_GoBack"/>
      <w:bookmarkEnd w:id="0"/>
    </w:p>
    <w:p w14:paraId="2CD80093">
      <w:pPr>
        <w:autoSpaceDE w:val="0"/>
        <w:autoSpaceDN w:val="0"/>
        <w:adjustRightInd w:val="0"/>
        <w:spacing w:line="240" w:lineRule="atLeast"/>
        <w:ind w:left="180" w:hanging="180"/>
        <w:jc w:val="center"/>
        <w:rPr>
          <w:b/>
        </w:rPr>
      </w:pPr>
      <w:r>
        <w:rPr>
          <w:b/>
        </w:rPr>
        <w:t xml:space="preserve">о порядке, сроках и условиях продажи имущества </w:t>
      </w:r>
    </w:p>
    <w:p w14:paraId="76DEFAFB">
      <w:pPr>
        <w:autoSpaceDE w:val="0"/>
        <w:autoSpaceDN w:val="0"/>
        <w:adjustRightInd w:val="0"/>
        <w:spacing w:line="240" w:lineRule="atLeast"/>
        <w:ind w:left="180" w:hanging="180"/>
        <w:jc w:val="center"/>
        <w:rPr>
          <w:b/>
        </w:rPr>
      </w:pPr>
      <w:r>
        <w:rPr>
          <w:rFonts w:hint="default"/>
          <w:b/>
          <w:lang w:val="ru-RU"/>
        </w:rPr>
        <w:t>(имущественных прав/дебиторской задолженности)</w:t>
      </w:r>
    </w:p>
    <w:p w14:paraId="40F2622B">
      <w:pPr>
        <w:autoSpaceDE w:val="0"/>
        <w:autoSpaceDN w:val="0"/>
        <w:adjustRightInd w:val="0"/>
        <w:spacing w:line="240" w:lineRule="atLeast"/>
        <w:ind w:left="180" w:hanging="180"/>
        <w:jc w:val="center"/>
        <w:rPr>
          <w:b/>
        </w:rPr>
      </w:pPr>
      <w:r>
        <w:rPr>
          <w:b/>
          <w:bCs/>
          <w:lang w:val="ru-RU"/>
        </w:rPr>
        <w:t>ООО</w:t>
      </w:r>
      <w:r>
        <w:rPr>
          <w:rFonts w:hint="default"/>
          <w:b/>
          <w:bCs/>
          <w:lang w:val="ru-RU"/>
        </w:rPr>
        <w:t xml:space="preserve"> «РИК»</w:t>
      </w:r>
    </w:p>
    <w:p w14:paraId="21815523">
      <w:pPr>
        <w:autoSpaceDE w:val="0"/>
        <w:autoSpaceDN w:val="0"/>
        <w:adjustRightInd w:val="0"/>
        <w:spacing w:line="240" w:lineRule="atLeast"/>
        <w:ind w:left="180" w:hanging="180"/>
        <w:jc w:val="center"/>
        <w:rPr>
          <w:b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6"/>
        <w:gridCol w:w="4985"/>
      </w:tblGrid>
      <w:tr w14:paraId="68DC9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BC232">
            <w:pPr>
              <w:widowControl w:val="0"/>
              <w:suppressAutoHyphens/>
              <w:autoSpaceDE w:val="0"/>
              <w:spacing w:line="240" w:lineRule="atLeast"/>
              <w:ind w:left="139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Полное наименование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2A657">
            <w:pPr>
              <w:pStyle w:val="14"/>
              <w:spacing w:before="0" w:after="0" w:line="24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  <w:lang w:val="ru-RU"/>
              </w:rPr>
              <w:t>Общество</w:t>
            </w:r>
            <w:r>
              <w:rPr>
                <w:rFonts w:hint="default"/>
                <w:b w:val="0"/>
                <w:bCs w:val="0"/>
                <w:lang w:val="ru-RU"/>
              </w:rPr>
              <w:t xml:space="preserve"> с ограниченной ответственностью «РИК»</w:t>
            </w:r>
          </w:p>
        </w:tc>
      </w:tr>
      <w:tr w14:paraId="1B18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58BF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Сокращенное наименование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51F30">
            <w:pPr>
              <w:pStyle w:val="14"/>
              <w:spacing w:before="0" w:after="0" w:line="240" w:lineRule="atLeast"/>
              <w:rPr>
                <w:b w:val="0"/>
                <w:bCs w:val="0"/>
              </w:rPr>
            </w:pPr>
            <w:r>
              <w:rPr>
                <w:b w:val="0"/>
                <w:bCs w:val="0"/>
                <w:lang w:val="ru-RU"/>
              </w:rPr>
              <w:t>ООО</w:t>
            </w:r>
            <w:r>
              <w:rPr>
                <w:rFonts w:hint="default"/>
                <w:b w:val="0"/>
                <w:bCs w:val="0"/>
                <w:lang w:val="ru-RU"/>
              </w:rPr>
              <w:t xml:space="preserve"> «РИК»</w:t>
            </w:r>
          </w:p>
        </w:tc>
      </w:tr>
      <w:tr w14:paraId="0A894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04EF7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Место нахождения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4586">
            <w:pPr>
              <w:widowControl w:val="0"/>
              <w:suppressAutoHyphens/>
              <w:autoSpaceDE w:val="0"/>
              <w:spacing w:line="240" w:lineRule="atLeast"/>
              <w:rPr>
                <w:spacing w:val="-1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121374, г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Москва, Можайское шоссе, д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 xml:space="preserve"> 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 xml:space="preserve"> корпус 1 </w:t>
            </w:r>
          </w:p>
        </w:tc>
      </w:tr>
      <w:tr w14:paraId="5580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8766A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Сведения о государственной регистрации</w:t>
            </w:r>
          </w:p>
        </w:tc>
      </w:tr>
      <w:tr w14:paraId="3119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C2D7E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Основной государственный регистрационный номер (ОГРН)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52A5D">
            <w:pPr>
              <w:widowControl w:val="0"/>
              <w:suppressAutoHyphens/>
              <w:autoSpaceDE w:val="0"/>
              <w:spacing w:line="240" w:lineRule="atLeas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1147746969908</w:t>
            </w:r>
          </w:p>
        </w:tc>
      </w:tr>
      <w:tr w14:paraId="4477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EBA28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Идентификационный номер налогоплательщика (ИНН)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DE29">
            <w:pPr>
              <w:widowControl w:val="0"/>
              <w:suppressAutoHyphens/>
              <w:autoSpaceDE w:val="0"/>
              <w:spacing w:line="240" w:lineRule="atLeast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7731477987</w:t>
            </w:r>
          </w:p>
        </w:tc>
      </w:tr>
      <w:tr w14:paraId="1FAD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FCA05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Сведения о состоянии юридического лица</w:t>
            </w:r>
          </w:p>
        </w:tc>
        <w:tc>
          <w:tcPr>
            <w:tcW w:w="4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F6DEE">
            <w:pPr>
              <w:widowControl w:val="0"/>
              <w:suppressAutoHyphens/>
              <w:autoSpaceDE w:val="0"/>
              <w:spacing w:line="240" w:lineRule="atLeast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ru-RU" w:bidi="ar-SA"/>
              </w:rPr>
              <w:t>Решением Арбитражного суда города Москвы от 24.09.2019 по делу А40-254544/2018 74-344 Б (дата оглашения резолютивной части) ООО «РИК» признано несостоятельным (банкротом), открыто конкурсное производство. Конкурсным управляющим утвержден Кадеров Рамиль Ислямович (ИНН 581201007651, СНИЛС 088-063-013-66) - член НП СРО АУ "РАЗВИТИЕ" (ОГРН 1077799003435, ИНН 7703392442, адрес: 117105, г. Москва, Варшавское ш., д. 1, стр. 1-2, комн. 36).</w:t>
            </w:r>
          </w:p>
        </w:tc>
      </w:tr>
    </w:tbl>
    <w:p w14:paraId="062262DE">
      <w:pPr>
        <w:spacing w:line="240" w:lineRule="atLeast"/>
        <w:jc w:val="both"/>
        <w:rPr>
          <w:rFonts w:ascii="Cambria" w:hAnsi="Cambria"/>
        </w:rPr>
      </w:pPr>
    </w:p>
    <w:p w14:paraId="2B2A5F76">
      <w:pPr>
        <w:tabs>
          <w:tab w:val="left" w:pos="1134"/>
        </w:tabs>
        <w:spacing w:line="240" w:lineRule="atLeast"/>
        <w:ind w:left="851"/>
        <w:jc w:val="both"/>
      </w:pPr>
    </w:p>
    <w:p w14:paraId="367DF426">
      <w:pPr>
        <w:tabs>
          <w:tab w:val="left" w:pos="1134"/>
        </w:tabs>
        <w:spacing w:line="240" w:lineRule="atLeast"/>
        <w:ind w:left="851"/>
        <w:jc w:val="both"/>
      </w:pPr>
    </w:p>
    <w:p w14:paraId="60E16FEC">
      <w:pPr>
        <w:tabs>
          <w:tab w:val="left" w:pos="1134"/>
        </w:tabs>
        <w:spacing w:line="240" w:lineRule="atLeast"/>
        <w:ind w:left="851"/>
        <w:jc w:val="both"/>
      </w:pPr>
    </w:p>
    <w:p w14:paraId="2144B63C">
      <w:pPr>
        <w:tabs>
          <w:tab w:val="left" w:pos="1134"/>
        </w:tabs>
        <w:spacing w:line="240" w:lineRule="atLeast"/>
        <w:ind w:left="851"/>
        <w:jc w:val="both"/>
      </w:pPr>
    </w:p>
    <w:p w14:paraId="0ABBAEAF">
      <w:pPr>
        <w:tabs>
          <w:tab w:val="left" w:pos="1134"/>
        </w:tabs>
        <w:spacing w:line="240" w:lineRule="atLeast"/>
        <w:ind w:left="851"/>
        <w:jc w:val="both"/>
      </w:pPr>
    </w:p>
    <w:p w14:paraId="4E8EF727">
      <w:pPr>
        <w:tabs>
          <w:tab w:val="left" w:pos="1134"/>
        </w:tabs>
        <w:spacing w:line="240" w:lineRule="atLeast"/>
        <w:jc w:val="both"/>
        <w:rPr>
          <w:b/>
          <w:bCs/>
        </w:rPr>
      </w:pPr>
    </w:p>
    <w:p w14:paraId="54FEFD4E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236C1C05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2CA506E4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37964B1A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6582E909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67040029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4F196110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3AEA7701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4CB3C7FF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5764E396">
      <w:pPr>
        <w:tabs>
          <w:tab w:val="left" w:pos="1134"/>
        </w:tabs>
        <w:spacing w:line="240" w:lineRule="atLeast"/>
        <w:ind w:left="851"/>
        <w:jc w:val="center"/>
        <w:rPr>
          <w:b/>
          <w:bCs/>
        </w:rPr>
      </w:pPr>
    </w:p>
    <w:p w14:paraId="2BE1590E">
      <w:pPr>
        <w:tabs>
          <w:tab w:val="left" w:pos="1134"/>
        </w:tabs>
        <w:spacing w:line="240" w:lineRule="atLeast"/>
        <w:jc w:val="center"/>
        <w:rPr>
          <w:b/>
          <w:bCs/>
        </w:rPr>
      </w:pPr>
      <w:r>
        <w:rPr>
          <w:b/>
          <w:bCs/>
        </w:rPr>
        <w:t>г. Пенза</w:t>
      </w:r>
    </w:p>
    <w:p w14:paraId="34ECC9B8">
      <w:pPr>
        <w:tabs>
          <w:tab w:val="left" w:pos="1134"/>
        </w:tabs>
        <w:spacing w:line="240" w:lineRule="atLeast"/>
        <w:jc w:val="center"/>
        <w:rPr>
          <w:rFonts w:hint="default"/>
          <w:b/>
          <w:bCs/>
          <w:lang w:val="ru-RU"/>
        </w:rPr>
      </w:pPr>
      <w:r>
        <w:rPr>
          <w:b/>
          <w:bCs/>
        </w:rPr>
        <w:t>202</w:t>
      </w:r>
      <w:r>
        <w:rPr>
          <w:rFonts w:hint="default"/>
          <w:b/>
          <w:bCs/>
          <w:lang w:val="ru-RU"/>
        </w:rPr>
        <w:t>4</w:t>
      </w:r>
      <w:r>
        <w:rPr>
          <w:b/>
          <w:bCs/>
        </w:rPr>
        <w:t xml:space="preserve"> г</w:t>
      </w:r>
      <w:r>
        <w:rPr>
          <w:b/>
          <w:bCs/>
          <w:lang w:val="ru-RU"/>
        </w:rPr>
        <w:t>од</w:t>
      </w:r>
    </w:p>
    <w:p w14:paraId="3F148914">
      <w:pPr>
        <w:pStyle w:val="2"/>
        <w:numPr>
          <w:ilvl w:val="0"/>
          <w:numId w:val="1"/>
        </w:numPr>
        <w:tabs>
          <w:tab w:val="left" w:pos="284"/>
        </w:tabs>
        <w:spacing w:before="0"/>
        <w:ind w:left="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ОБЩИЕ ПОЛОЖЕНИЯ</w:t>
      </w:r>
    </w:p>
    <w:p w14:paraId="0EC52E28">
      <w:pPr>
        <w:jc w:val="both"/>
      </w:pPr>
    </w:p>
    <w:p w14:paraId="0E2D27BF">
      <w:pPr>
        <w:pStyle w:val="10"/>
        <w:numPr>
          <w:ilvl w:val="1"/>
          <w:numId w:val="1"/>
        </w:numPr>
        <w:ind w:left="-142" w:firstLine="851"/>
      </w:pPr>
      <w:r>
        <w:t xml:space="preserve">Настоящее Предложение о продаже имущества </w:t>
      </w:r>
      <w:r>
        <w:rPr>
          <w:lang w:val="ru-RU"/>
        </w:rPr>
        <w:t>ООО</w:t>
      </w:r>
      <w:r>
        <w:rPr>
          <w:rFonts w:hint="default"/>
          <w:lang w:val="ru-RU"/>
        </w:rPr>
        <w:t xml:space="preserve"> «РИК»</w:t>
      </w:r>
      <w:r>
        <w:t xml:space="preserve"> разработано на основе действующего законодательства Российской Федерации, регламентирующего порядок реализации имущества должника в рамках процедуры несостоятельности (банкротства), в том числе: Гражданского кодекса Российской Федерации от 30.11.1994 г. №51-ФЗ;  Федерального закона от 26.10.2002 г. №127-ФЗ «О несостоятельности (банкротстве)»; Порядка проведения торгов в электронной форме по продаже имущества или предприятия должников в ходе процедур, применяемых в деле о банкротстве, утвержденного Приказом Минэкономразвития РФ от 23.07.2015 г. №495.</w:t>
      </w:r>
    </w:p>
    <w:p w14:paraId="01695091">
      <w:pPr>
        <w:pStyle w:val="10"/>
        <w:numPr>
          <w:ilvl w:val="1"/>
          <w:numId w:val="1"/>
        </w:numPr>
        <w:ind w:left="-142" w:firstLine="851"/>
      </w:pPr>
      <w:r>
        <w:t>Настоящее Предложение включает в себя сведения о составе имущества должника, сроках его продажи, о форме торгов, об условиях торгов, о форме представления предложений о цене имущества должника, о начальной цене его продажи, о средствах массовой информации и сайтах в сети «Интернет», где предлагается соответственно опубликовать и разместить сообщение о продаже имущества должника, о сроках опубликования и размещения указанного сообщения.</w:t>
      </w:r>
    </w:p>
    <w:p w14:paraId="58440D16">
      <w:pPr>
        <w:pStyle w:val="10"/>
        <w:tabs>
          <w:tab w:val="left" w:pos="1320"/>
        </w:tabs>
        <w:ind w:left="851"/>
      </w:pPr>
    </w:p>
    <w:p w14:paraId="3059AF1B">
      <w:pPr>
        <w:pStyle w:val="11"/>
        <w:numPr>
          <w:ilvl w:val="0"/>
          <w:numId w:val="1"/>
        </w:numPr>
        <w:ind w:left="0" w:firstLine="65"/>
        <w:jc w:val="center"/>
        <w:rPr>
          <w:b/>
          <w:bCs/>
        </w:rPr>
      </w:pPr>
      <w:r>
        <w:rPr>
          <w:b/>
          <w:bCs/>
        </w:rPr>
        <w:t>СОСТАВ ИМУЩЕСТВА</w:t>
      </w:r>
      <w:r>
        <w:rPr>
          <w:rFonts w:hint="default"/>
          <w:b/>
          <w:bCs/>
          <w:lang w:val="ru-RU"/>
        </w:rPr>
        <w:t xml:space="preserve"> </w:t>
      </w:r>
      <w:r>
        <w:rPr>
          <w:b/>
          <w:bCs/>
        </w:rPr>
        <w:t>–</w:t>
      </w:r>
      <w:r>
        <w:rPr>
          <w:rFonts w:hint="default"/>
          <w:b/>
          <w:bCs/>
          <w:lang w:val="ru-RU"/>
        </w:rPr>
        <w:t xml:space="preserve"> </w:t>
      </w:r>
      <w:r>
        <w:rPr>
          <w:b/>
          <w:bCs/>
        </w:rPr>
        <w:t>ПРАВ ТРЕБОВАНИЯ. НАЧАЛЬНАЯ ЦЕНА ПРОДАЖИ</w:t>
      </w:r>
    </w:p>
    <w:p w14:paraId="3643807A">
      <w:pPr>
        <w:pStyle w:val="11"/>
        <w:ind w:left="65" w:firstLine="786"/>
      </w:pPr>
      <w:r>
        <w:t xml:space="preserve">2.1. В соответствии с настоящим Предложением реализации подлежит следующее имущество Должника в составе следующих лотов и по следующей начальной продажной стоимости: </w:t>
      </w:r>
    </w:p>
    <w:tbl>
      <w:tblPr>
        <w:tblStyle w:val="4"/>
        <w:tblW w:w="977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6521"/>
        <w:gridCol w:w="1800"/>
      </w:tblGrid>
      <w:tr w14:paraId="73F9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56" w:type="dxa"/>
            <w:shd w:val="clear" w:color="auto" w:fill="auto"/>
          </w:tcPr>
          <w:p w14:paraId="025CF997">
            <w:pPr>
              <w:jc w:val="center"/>
            </w:pPr>
            <w:r>
              <w:t>Имущество/ Лот</w:t>
            </w:r>
          </w:p>
        </w:tc>
        <w:tc>
          <w:tcPr>
            <w:tcW w:w="6521" w:type="dxa"/>
            <w:shd w:val="clear" w:color="auto" w:fill="auto"/>
          </w:tcPr>
          <w:p w14:paraId="22C7DCFC">
            <w:pPr>
              <w:jc w:val="center"/>
            </w:pPr>
            <w:r>
              <w:t>Сведения об имуществе/лоте, его составе, характеристиках, описание имущества/лота</w:t>
            </w:r>
          </w:p>
        </w:tc>
        <w:tc>
          <w:tcPr>
            <w:tcW w:w="1800" w:type="dxa"/>
            <w:shd w:val="clear" w:color="auto" w:fill="auto"/>
          </w:tcPr>
          <w:p w14:paraId="7CE51A7A">
            <w:pPr>
              <w:jc w:val="center"/>
            </w:pPr>
            <w:r>
              <w:t>Начальная цена продажи лота (руб.)</w:t>
            </w:r>
          </w:p>
        </w:tc>
      </w:tr>
      <w:tr w14:paraId="6E91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1456" w:type="dxa"/>
            <w:shd w:val="clear" w:color="auto" w:fill="auto"/>
          </w:tcPr>
          <w:p w14:paraId="36D2418C">
            <w:pPr>
              <w:jc w:val="both"/>
              <w:rPr>
                <w:i/>
              </w:rPr>
            </w:pPr>
          </w:p>
          <w:p w14:paraId="13A815B6">
            <w:pPr>
              <w:jc w:val="center"/>
              <w:rPr>
                <w:i/>
              </w:rPr>
            </w:pPr>
            <w:r>
              <w:rPr>
                <w:i/>
              </w:rPr>
              <w:t>Лот №1</w:t>
            </w:r>
          </w:p>
          <w:p w14:paraId="1429528C">
            <w:pPr>
              <w:jc w:val="both"/>
              <w:rPr>
                <w:i/>
              </w:rPr>
            </w:pPr>
          </w:p>
        </w:tc>
        <w:tc>
          <w:tcPr>
            <w:tcW w:w="6521" w:type="dxa"/>
            <w:shd w:val="clear" w:color="auto" w:fill="auto"/>
          </w:tcPr>
          <w:p w14:paraId="319E4443">
            <w:pPr>
              <w:pStyle w:val="16"/>
              <w:rPr>
                <w:bCs/>
              </w:rPr>
            </w:pPr>
            <w:r>
              <w:rPr>
                <w:bCs/>
              </w:rPr>
              <w:t xml:space="preserve">Право взыскания с </w:t>
            </w:r>
            <w:r>
              <w:rPr>
                <w:bCs/>
                <w:lang w:val="ru-RU"/>
              </w:rPr>
              <w:t>Горячева</w:t>
            </w:r>
            <w:r>
              <w:rPr>
                <w:rFonts w:hint="default"/>
                <w:bCs/>
                <w:lang w:val="ru-RU"/>
              </w:rPr>
              <w:t xml:space="preserve"> Дмитрия Сергеевича и Мироновой Юлии Михайловны солидарно в пользу ООО «РИК» 145 495 463 руб. 41 коп.</w:t>
            </w:r>
            <w:r>
              <w:rPr>
                <w:rFonts w:ascii="SimSun" w:hAnsi="SimSun" w:eastAsia="SimSun" w:cs="SimSun"/>
                <w:sz w:val="24"/>
                <w:szCs w:val="24"/>
              </w:rPr>
              <w:t xml:space="preserve"> </w:t>
            </w:r>
            <w:r>
              <w:t>(</w:t>
            </w:r>
            <w:r>
              <w:rPr>
                <w:lang w:val="ru-RU"/>
              </w:rPr>
              <w:t>последствия</w:t>
            </w:r>
            <w:r>
              <w:rPr>
                <w:rFonts w:hint="default"/>
                <w:lang w:val="ru-RU"/>
              </w:rPr>
              <w:t xml:space="preserve"> привлечения к субсидиарной ответственности)</w:t>
            </w:r>
            <w:r>
              <w:t>, установлен</w:t>
            </w:r>
            <w:r>
              <w:rPr>
                <w:lang w:val="ru-RU"/>
              </w:rPr>
              <w:t>о</w:t>
            </w:r>
            <w:r>
              <w:t xml:space="preserve"> </w:t>
            </w:r>
            <w:r>
              <w:rPr>
                <w:lang w:val="ru-RU"/>
              </w:rPr>
              <w:t>Решением</w:t>
            </w:r>
            <w:r>
              <w:rPr>
                <w:rFonts w:hint="default"/>
                <w:lang w:val="ru-RU"/>
              </w:rPr>
              <w:t xml:space="preserve"> Арбитражного суда Алтайского края от 05.06.2024 </w:t>
            </w:r>
            <w:r>
              <w:t xml:space="preserve">по делу № </w:t>
            </w:r>
            <w:r>
              <w:rPr>
                <w:rFonts w:hint="default"/>
                <w:lang w:val="ru-RU"/>
              </w:rPr>
              <w:t>А03-7916/2021</w:t>
            </w:r>
          </w:p>
        </w:tc>
        <w:tc>
          <w:tcPr>
            <w:tcW w:w="1800" w:type="dxa"/>
            <w:shd w:val="clear" w:color="auto" w:fill="auto"/>
          </w:tcPr>
          <w:p w14:paraId="32483B1C"/>
          <w:p w14:paraId="3FF696AD">
            <w:pPr>
              <w:rPr>
                <w:rFonts w:hint="default"/>
                <w:lang w:val="ru-RU"/>
              </w:rPr>
            </w:pPr>
            <w:r>
              <w:rPr>
                <w:rFonts w:hint="default"/>
                <w:bCs/>
                <w:lang w:val="ru-RU"/>
              </w:rPr>
              <w:t>145 495 463,41</w:t>
            </w:r>
          </w:p>
        </w:tc>
      </w:tr>
    </w:tbl>
    <w:p w14:paraId="0D83B527">
      <w:pPr>
        <w:ind w:firstLine="851"/>
        <w:jc w:val="both"/>
      </w:pPr>
      <w:r>
        <w:t>2.2 В ходе продажи имущества сумм</w:t>
      </w:r>
      <w:r>
        <w:rPr>
          <w:lang w:val="ru-RU"/>
        </w:rPr>
        <w:t>а</w:t>
      </w:r>
      <w:r>
        <w:t xml:space="preserve"> права требования, предлагаем</w:t>
      </w:r>
      <w:r>
        <w:rPr>
          <w:lang w:val="ru-RU"/>
        </w:rPr>
        <w:t>ая</w:t>
      </w:r>
      <w:r>
        <w:t xml:space="preserve"> в составе лота, мо</w:t>
      </w:r>
      <w:r>
        <w:rPr>
          <w:lang w:val="ru-RU"/>
        </w:rPr>
        <w:t>жет</w:t>
      </w:r>
      <w:r>
        <w:t xml:space="preserve"> измениться в случае поступления денежных средств от должников в счет погашения задолженности. При изменении сумм</w:t>
      </w:r>
      <w:r>
        <w:rPr>
          <w:lang w:val="ru-RU"/>
        </w:rPr>
        <w:t>ы</w:t>
      </w:r>
      <w:r>
        <w:t xml:space="preserve"> задолженност</w:t>
      </w:r>
      <w:r>
        <w:rPr>
          <w:lang w:val="ru-RU"/>
        </w:rPr>
        <w:t>и</w:t>
      </w:r>
      <w:r>
        <w:t>, предлагаем</w:t>
      </w:r>
      <w:r>
        <w:rPr>
          <w:lang w:val="ru-RU"/>
        </w:rPr>
        <w:t>ой</w:t>
      </w:r>
      <w:r>
        <w:t xml:space="preserve"> к продаже, пропорционально изменяется и стоимость (начальная стоимость) лота. </w:t>
      </w:r>
    </w:p>
    <w:p w14:paraId="2955E8CC">
      <w:pPr>
        <w:ind w:firstLine="851"/>
        <w:jc w:val="both"/>
      </w:pPr>
      <w:r>
        <w:t xml:space="preserve">2.3 В случае полного погашения задолженности, входящей в Лот, организатор торгов снимает с торгов данный Лот или изменяет его состав и начальную стоимость, пропорционально размеру погашения. </w:t>
      </w:r>
    </w:p>
    <w:p w14:paraId="11FEA0E6">
      <w:pPr>
        <w:ind w:firstLine="851"/>
        <w:jc w:val="both"/>
      </w:pPr>
      <w:r>
        <w:t xml:space="preserve">2.4 В случае возникновения в ходе конкурсного производства обстоятельств, в связи с которыми потребуется внесение изменений в настоящее Предложение, конкурсный управляющий представляет собранию кредиторов для утверждения соответствующие предложения о внесении изменений в настоящее Положение. Вопросы, не урегулированные настоящим Положением, разрешаются в порядке, установленном законодательством Российской Федерации. </w:t>
      </w:r>
    </w:p>
    <w:p w14:paraId="480978DF">
      <w:pPr>
        <w:jc w:val="both"/>
      </w:pPr>
    </w:p>
    <w:p w14:paraId="34D12D29">
      <w:pPr>
        <w:jc w:val="center"/>
        <w:rPr>
          <w:b/>
          <w:bCs/>
        </w:rPr>
      </w:pPr>
      <w:r>
        <w:rPr>
          <w:b/>
          <w:bCs/>
        </w:rPr>
        <w:t>3. ФОРМА ТОРГОВ. ФОРМА ПРЕДСТАВЛЕНИЯ ПРЕДЛОЖЕНИЙ О ЦЕНЕ. СРОКИ ПРОВЕДЕНИЯ ТОРГОВ. ИСТОЧНИКИ ПУБЛИКАЦИИ СВЕДЕНИЙ О ТОРГАХ. СРОКИ ОПУБЛИКОВАНИЯ И РАЗМЕЩЕНИЯ СООБЩЕНИЙ. ИНЫЕ УСЛОВИЯ РЕАЛИЗАЦИИ ИМУЩЕСТВА</w:t>
      </w:r>
      <w:r>
        <w:rPr>
          <w:b/>
          <w:bCs/>
          <w:color w:val="232323"/>
        </w:rPr>
        <w:t>.</w:t>
      </w:r>
    </w:p>
    <w:p w14:paraId="287821F2">
      <w:pPr>
        <w:ind w:firstLine="851"/>
        <w:jc w:val="both"/>
      </w:pPr>
      <w:r>
        <w:t>3.1. Имущество, указанное в п. 2.</w:t>
      </w:r>
      <w:r>
        <w:rPr>
          <w:rFonts w:hint="default"/>
          <w:lang w:val="ru-RU"/>
        </w:rPr>
        <w:t>1</w:t>
      </w:r>
      <w:r>
        <w:t xml:space="preserve">. настоящего Предложения, (далее – «имущество») подлежит продаже путем проведения торгов в электронной форме. Торги по продаже имущества проводятся посредством публичного предложения. </w:t>
      </w:r>
    </w:p>
    <w:p w14:paraId="39CE2823">
      <w:pPr>
        <w:ind w:firstLine="851"/>
        <w:jc w:val="both"/>
      </w:pPr>
      <w:r>
        <w:t xml:space="preserve">Торги проводятся по электронному адресу (на электронной площадке)  www.nistp.ru. Оператор электронной площадки АО «НИС» (ОГРН 1127746228972, ИНН  7725752265). </w:t>
      </w:r>
    </w:p>
    <w:p w14:paraId="2ACB87B3">
      <w:pPr>
        <w:ind w:firstLine="851"/>
        <w:jc w:val="both"/>
      </w:pPr>
      <w:r>
        <w:t xml:space="preserve">3.2. Организатором торгов по реализации прав требования выступает конкурсный управляющий </w:t>
      </w:r>
      <w:r>
        <w:rPr>
          <w:lang w:val="ru-RU"/>
        </w:rPr>
        <w:t>ООО</w:t>
      </w:r>
      <w:r>
        <w:rPr>
          <w:rFonts w:hint="default"/>
          <w:lang w:val="ru-RU"/>
        </w:rPr>
        <w:t xml:space="preserve"> «РИК</w:t>
      </w:r>
      <w:r>
        <w:t>» Кадеров Рамиль Ислямович.</w:t>
      </w:r>
    </w:p>
    <w:p w14:paraId="259CE640">
      <w:pPr>
        <w:ind w:firstLine="851"/>
        <w:jc w:val="both"/>
      </w:pPr>
      <w:r>
        <w:t xml:space="preserve">3.3. Оплата по договору о проведении торгов, заключаемому организатором торгов с оператором электронной площадки, расходы на публикацию сообщений о торгах, должны производиться за счет имущества должника и возмещаются за счет этого имущества вне очереди (текущие платежи). </w:t>
      </w:r>
    </w:p>
    <w:p w14:paraId="2F1CACB5">
      <w:pPr>
        <w:ind w:firstLine="851"/>
        <w:jc w:val="both"/>
      </w:pPr>
      <w:r>
        <w:t>Организатор торгов выполняет следующие функции:</w:t>
      </w:r>
    </w:p>
    <w:p w14:paraId="0F2AE2CE">
      <w:pPr>
        <w:ind w:firstLine="851"/>
        <w:jc w:val="both"/>
        <w:rPr>
          <w:rFonts w:hint="default"/>
          <w:lang w:val="ru-RU"/>
        </w:rPr>
      </w:pPr>
      <w:r>
        <w:rPr/>
        <w:sym w:font="Symbol" w:char="F0B7"/>
      </w:r>
      <w:r>
        <w:t xml:space="preserve"> опубликовывает и размещает сообщение о продаже имущества и сообщение о результатах </w:t>
      </w:r>
      <w:r>
        <w:rPr>
          <w:lang w:val="ru-RU"/>
        </w:rPr>
        <w:t>торгов</w:t>
      </w:r>
      <w:r>
        <w:rPr>
          <w:rFonts w:hint="default"/>
          <w:lang w:val="ru-RU"/>
        </w:rPr>
        <w:t>;</w:t>
      </w:r>
    </w:p>
    <w:p w14:paraId="7E0B8A19">
      <w:pPr>
        <w:ind w:firstLine="851"/>
        <w:jc w:val="both"/>
      </w:pPr>
      <w:r>
        <w:rPr/>
        <w:sym w:font="Symbol" w:char="F0B7"/>
      </w:r>
      <w:r>
        <w:t xml:space="preserve">  принимает заявки на участие в торгах, предложения о цене имущества;</w:t>
      </w:r>
    </w:p>
    <w:p w14:paraId="77CA7F72">
      <w:pPr>
        <w:ind w:firstLine="851"/>
        <w:jc w:val="both"/>
      </w:pPr>
      <w:r>
        <w:rPr/>
        <w:sym w:font="Symbol" w:char="F0B7"/>
      </w:r>
      <w:r>
        <w:t xml:space="preserve">  заключает с заявителями договоры о задатке; </w:t>
      </w:r>
    </w:p>
    <w:p w14:paraId="6E133D94">
      <w:pPr>
        <w:ind w:firstLine="851"/>
        <w:jc w:val="both"/>
      </w:pPr>
      <w:r>
        <w:rPr/>
        <w:sym w:font="Symbol" w:char="F0B7"/>
      </w:r>
      <w:r>
        <w:t xml:space="preserve">  определяет участников торгов; </w:t>
      </w:r>
    </w:p>
    <w:p w14:paraId="39692B40">
      <w:pPr>
        <w:ind w:firstLine="851"/>
        <w:jc w:val="both"/>
      </w:pPr>
      <w:r>
        <w:rPr/>
        <w:sym w:font="Symbol" w:char="F0B7"/>
      </w:r>
      <w:r>
        <w:rPr>
          <w:rFonts w:hint="default"/>
          <w:lang w:val="ru-RU"/>
        </w:rPr>
        <w:t xml:space="preserve"> </w:t>
      </w:r>
      <w:r>
        <w:t xml:space="preserve">определяет победителя торгов и подписывает протокол о результатах проведения торгов; </w:t>
      </w:r>
    </w:p>
    <w:p w14:paraId="37D924BA">
      <w:pPr>
        <w:ind w:firstLine="851"/>
        <w:jc w:val="both"/>
      </w:pPr>
      <w:r>
        <w:rPr/>
        <w:sym w:font="Symbol" w:char="F0B7"/>
      </w:r>
      <w:r>
        <w:t xml:space="preserve">  уведомляет заявителей и участников торгов о результатах проведения торгов;</w:t>
      </w:r>
    </w:p>
    <w:p w14:paraId="0B536F8D">
      <w:pPr>
        <w:ind w:firstLine="851"/>
        <w:jc w:val="both"/>
      </w:pPr>
      <w:r>
        <w:rPr/>
        <w:sym w:font="Symbol" w:char="F0B7"/>
      </w:r>
      <w:r>
        <w:t xml:space="preserve">  для проведения открытых торгов организатор торгов заключает договор о проведении открытых торгов с оператором электронной площадки.</w:t>
      </w:r>
    </w:p>
    <w:p w14:paraId="50B4223C">
      <w:pPr>
        <w:ind w:firstLine="851"/>
        <w:jc w:val="both"/>
      </w:pPr>
      <w:r>
        <w:t xml:space="preserve">3.4. Для проведения открытых торгов организатор торгов представляет оператору электронной площадки заявку на проведение открытых торгов в форме электронного документа. К заявке на проведение открытых торгов прилагаются подписанные электронной цифровой подписью организатора торгов проект договора о задатке и проект договора уступки прав требования. </w:t>
      </w:r>
    </w:p>
    <w:p w14:paraId="10DDC517">
      <w:pPr>
        <w:ind w:firstLine="851"/>
        <w:jc w:val="both"/>
      </w:pPr>
      <w:r>
        <w:rPr>
          <w:rFonts w:ascii="Times New Roman,Bold" w:hAnsi="Times New Roman,Bold"/>
        </w:rPr>
        <w:t xml:space="preserve">Размер задатка для участия в торгах устанавливается в размере 10% </w:t>
      </w:r>
      <w:r>
        <w:t xml:space="preserve">(десять процентов) </w:t>
      </w:r>
      <w:r>
        <w:rPr>
          <w:rFonts w:ascii="Times New Roman,Bold" w:hAnsi="Times New Roman,Bold"/>
        </w:rPr>
        <w:t xml:space="preserve">от начальной цены продажи лота, установленной в конкретный период снижения цены публичного предложения </w:t>
      </w:r>
      <w:r>
        <w:t xml:space="preserve">и перечисляется на специальный счет, открываемый в порядке Постановления Пленума ВАС РФ от 23.07.2009 №60 (ред. от 20.12.2016) «О некоторых вопросах, связанных с принятием Федерального закона от 30.12.2008 № 296-ФЗ «О внесении изменений в Федеральный закон «О несостоятельности (банкротстве)», согласно договора о задатке. Реквизиты счета указываются в сообщении о продаже имущества, подлежащем опубликованию </w:t>
      </w:r>
      <w:r>
        <w:rPr>
          <w:lang w:val="ru-RU"/>
        </w:rPr>
        <w:t>на</w:t>
      </w:r>
      <w:r>
        <w:rPr>
          <w:rFonts w:hint="default"/>
          <w:lang w:val="ru-RU"/>
        </w:rPr>
        <w:t xml:space="preserve"> сайте</w:t>
      </w:r>
      <w:r>
        <w:t xml:space="preserve"> ЕФРСБ и на электронной площадке. </w:t>
      </w:r>
    </w:p>
    <w:p w14:paraId="3C34916C">
      <w:pPr>
        <w:ind w:firstLine="851"/>
        <w:jc w:val="both"/>
      </w:pPr>
      <w:r>
        <w:t xml:space="preserve">При этом, заявитель обязан обеспечить поступление задатка на счет, указанный в сообщении о продаже, не позднее указанной в таком сообщении даты и времени окончания приема заявок на участие в торгах для соответствующего периода проведения торгов. </w:t>
      </w:r>
    </w:p>
    <w:p w14:paraId="360394C1">
      <w:pPr>
        <w:ind w:firstLine="851"/>
        <w:jc w:val="both"/>
      </w:pPr>
      <w:r>
        <w:t xml:space="preserve">Сообщение о проведении торгов подлежит опубликованию организатором торгов </w:t>
      </w:r>
      <w:r>
        <w:rPr>
          <w:lang w:val="ru-RU"/>
        </w:rPr>
        <w:t>на</w:t>
      </w:r>
      <w:r>
        <w:rPr>
          <w:rFonts w:hint="default"/>
          <w:lang w:val="ru-RU"/>
        </w:rPr>
        <w:t xml:space="preserve"> сайте </w:t>
      </w:r>
      <w:r>
        <w:t>ЕФРСБ, предусмотренн</w:t>
      </w:r>
      <w:r>
        <w:rPr>
          <w:lang w:val="ru-RU"/>
        </w:rPr>
        <w:t>ом</w:t>
      </w:r>
      <w:r>
        <w:t xml:space="preserve"> Законом о банкротстве (в редакции Федерального закона от 2 июня 2016 г. N 172-ФЗ) и должно содержать следующую информацию:</w:t>
      </w:r>
    </w:p>
    <w:p w14:paraId="253DB0F7">
      <w:pPr>
        <w:ind w:firstLine="851"/>
        <w:jc w:val="both"/>
      </w:pPr>
      <w:r>
        <w:rPr/>
        <w:sym w:font="Symbol" w:char="F0B7"/>
      </w:r>
      <w:r>
        <w:t xml:space="preserve">  сведения о продаваемом имуществе (описание, начальная стоимость); </w:t>
      </w:r>
    </w:p>
    <w:p w14:paraId="23E31117">
      <w:pPr>
        <w:ind w:firstLine="851"/>
        <w:jc w:val="both"/>
      </w:pPr>
      <w:r>
        <w:rPr/>
        <w:sym w:font="Symbol" w:char="F0B7"/>
      </w:r>
      <w:r>
        <w:t xml:space="preserve">  порядок ознакомления с документами; </w:t>
      </w:r>
    </w:p>
    <w:p w14:paraId="112549E7">
      <w:pPr>
        <w:ind w:firstLine="851"/>
        <w:jc w:val="both"/>
      </w:pPr>
      <w:r>
        <w:rPr/>
        <w:sym w:font="Symbol" w:char="F0B7"/>
      </w:r>
      <w:r>
        <w:t xml:space="preserve">  сведения о форме проведения торгов и форме представления предложений о цене имущества; </w:t>
      </w:r>
    </w:p>
    <w:p w14:paraId="0748170E">
      <w:pPr>
        <w:ind w:firstLine="851"/>
        <w:jc w:val="both"/>
      </w:pPr>
      <w:r>
        <w:rPr/>
        <w:sym w:font="Symbol" w:char="F0B7"/>
      </w:r>
      <w:r>
        <w:t xml:space="preserve"> порядок, место, срок и время представления заявок на участие в торгах и предложений о цене имущества (даты и время начала представления указанных заявок и предложений); </w:t>
      </w:r>
    </w:p>
    <w:p w14:paraId="4E804E37">
      <w:pPr>
        <w:ind w:firstLine="851"/>
        <w:jc w:val="both"/>
      </w:pPr>
      <w:r>
        <w:rPr/>
        <w:sym w:font="Symbol" w:char="F0B7"/>
      </w:r>
      <w:r>
        <w:t xml:space="preserve"> порядок оформления участия в торгах, перечень представляемых участниками торгов документов и требования к их оформлению; </w:t>
      </w:r>
    </w:p>
    <w:p w14:paraId="0A3FBA78">
      <w:pPr>
        <w:ind w:firstLine="851"/>
        <w:jc w:val="both"/>
      </w:pPr>
      <w:r>
        <w:rPr/>
        <w:sym w:font="Symbol" w:char="F0B7"/>
      </w:r>
      <w:r>
        <w:t xml:space="preserve"> размер задатка, сроки и порядок внесения задатка, реквизиты счетов, на которые вносится задаток; </w:t>
      </w:r>
    </w:p>
    <w:p w14:paraId="2E07895B">
      <w:pPr>
        <w:ind w:firstLine="851"/>
        <w:jc w:val="both"/>
      </w:pPr>
      <w:r>
        <w:rPr/>
        <w:sym w:font="Symbol" w:char="F0B7"/>
      </w:r>
      <w:r>
        <w:t xml:space="preserve"> величина снижения начальной цены продажи; срок по истечении, которого последовательно снижается начальная цена; </w:t>
      </w:r>
    </w:p>
    <w:p w14:paraId="768E31F5">
      <w:pPr>
        <w:ind w:firstLine="851"/>
        <w:jc w:val="both"/>
      </w:pPr>
      <w:r>
        <w:rPr/>
        <w:sym w:font="Symbol" w:char="F0B7"/>
      </w:r>
      <w:r>
        <w:t xml:space="preserve"> порядок и критерии выявления победителя торгов; дата, время и место подведения результатов торгов; порядок и срок заключения договора купли-продажи (уступки прав требования); сроки платежей, реквизиты счетов, на которые вносятся платежи; </w:t>
      </w:r>
    </w:p>
    <w:p w14:paraId="4AAEC783">
      <w:pPr>
        <w:ind w:firstLine="851"/>
        <w:jc w:val="both"/>
      </w:pPr>
      <w:r>
        <w:rPr/>
        <w:sym w:font="Symbol" w:char="F0B7"/>
      </w:r>
      <w:r>
        <w:t xml:space="preserve"> сведения об организаторе торгов, его почтовый адрес, адрес электронной почты, номер контактного телефона; </w:t>
      </w:r>
    </w:p>
    <w:p w14:paraId="2EE54253">
      <w:pPr>
        <w:ind w:firstLine="851"/>
        <w:jc w:val="both"/>
      </w:pPr>
      <w:r>
        <w:rPr/>
        <w:sym w:font="Symbol" w:char="F0B7"/>
      </w:r>
      <w:r>
        <w:t xml:space="preserve"> наименование должника, его адрес и идентифицирующие должника сведения; </w:t>
      </w:r>
    </w:p>
    <w:p w14:paraId="24D16E4A">
      <w:pPr>
        <w:ind w:firstLine="851"/>
        <w:jc w:val="both"/>
      </w:pPr>
      <w:r>
        <w:rPr/>
        <w:sym w:font="Symbol" w:char="F0B7"/>
      </w:r>
      <w:r>
        <w:t xml:space="preserve"> наименование арбитражного суда, принявшего судебный акт, дату принятия такого судебного акта и указание на наименование процедуры, применяемой в деле о банкротстве, а также номер дела о банкротстве; </w:t>
      </w:r>
    </w:p>
    <w:p w14:paraId="43356F73">
      <w:pPr>
        <w:ind w:firstLine="851"/>
        <w:jc w:val="both"/>
      </w:pPr>
      <w:r>
        <w:rPr/>
        <w:sym w:font="Symbol" w:char="F0B7"/>
      </w:r>
      <w:r>
        <w:t xml:space="preserve"> фамилию, имя, отчество утвержденного арбитражного управляющего, а также наименование соответствующей саморегулируемой организации и ее адрес. </w:t>
      </w:r>
    </w:p>
    <w:p w14:paraId="58997F26">
      <w:pPr>
        <w:ind w:firstLine="851"/>
        <w:jc w:val="both"/>
      </w:pPr>
      <w:r>
        <w:t xml:space="preserve">3.5. Для участия в торгах, посредством публичного предложения, заявитель представляет оператору электронной площадки заявку на участие в торгах. </w:t>
      </w:r>
    </w:p>
    <w:p w14:paraId="3741F087">
      <w:pPr>
        <w:ind w:firstLine="851"/>
        <w:jc w:val="both"/>
      </w:pPr>
      <w:r>
        <w:t xml:space="preserve">Заявка на участие в торгах должна соответствовать требованиям, установленным в соответствии с Законом о несостоятельности (банкротстве) и указанным в сообщении о проведении торгов, и оформляется в форме электронного документа. </w:t>
      </w:r>
    </w:p>
    <w:p w14:paraId="249EB415">
      <w:pPr>
        <w:ind w:firstLine="851"/>
        <w:jc w:val="both"/>
      </w:pPr>
      <w:r>
        <w:t xml:space="preserve">Заявка на участие в торгах составляется в произвольной форме на русском языке и должна содержать указанные в сообщении о проведении торгов следующие сведения: </w:t>
      </w:r>
    </w:p>
    <w:p w14:paraId="0D313307">
      <w:pPr>
        <w:jc w:val="both"/>
      </w:pPr>
      <w:r>
        <w:rPr/>
        <w:sym w:font="Symbol" w:char="F0BE"/>
      </w:r>
      <w:r>
        <w:t xml:space="preserve"> предложение о цене имущества должника, которая не ниже начальной цены продажи имущества должника, установленной для определенного периода проведения торгов; </w:t>
      </w:r>
    </w:p>
    <w:p w14:paraId="67E1D35B">
      <w:pPr>
        <w:jc w:val="both"/>
      </w:pPr>
      <w:r>
        <w:rPr/>
        <w:sym w:font="Symbol" w:char="F0BE"/>
      </w:r>
      <w:r>
        <w:t xml:space="preserve"> наименование, организационно-правовая форма, место нахождения, почтовый адрес заявителя (для юридического лица); </w:t>
      </w:r>
    </w:p>
    <w:p w14:paraId="12BBCE03">
      <w:pPr>
        <w:jc w:val="both"/>
      </w:pPr>
      <w:r>
        <w:rPr/>
        <w:sym w:font="Symbol" w:char="F0BE"/>
      </w:r>
      <w:r>
        <w:t xml:space="preserve"> фамилия, имя, отчество, паспортные данные, сведения о месте жительства заявителя (для физического лица); </w:t>
      </w:r>
    </w:p>
    <w:p w14:paraId="62B5344B">
      <w:pPr>
        <w:jc w:val="both"/>
      </w:pPr>
      <w:r>
        <w:rPr/>
        <w:sym w:font="Symbol" w:char="F0BE"/>
      </w:r>
      <w:r>
        <w:t xml:space="preserve"> номер контактного телефона, адрес электронной почты заявителя.</w:t>
      </w:r>
    </w:p>
    <w:p w14:paraId="562E5BB6">
      <w:pPr>
        <w:ind w:firstLine="851"/>
        <w:jc w:val="both"/>
      </w:pPr>
      <w: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этой заинтересованности, сведения об участии в капитале заявителя конкурсного управляющего, а также саморегулируемой организации арбитражных управляющих, членом или руководителем которой является конкурсный управляющий.</w:t>
      </w:r>
    </w:p>
    <w:p w14:paraId="53CCC3DE">
      <w:pPr>
        <w:ind w:firstLine="851"/>
        <w:jc w:val="both"/>
      </w:pPr>
      <w:r>
        <w:t xml:space="preserve">К заявке на участие в торгах должны прилагаться документы согласно перечню, установленному статьей 110 Закона о несостоятельности (банкротстве). </w:t>
      </w:r>
    </w:p>
    <w:p w14:paraId="61AFA168">
      <w:pPr>
        <w:ind w:firstLine="851"/>
        <w:jc w:val="both"/>
      </w:pPr>
      <w:r>
        <w:t xml:space="preserve">В случае представления одним заявителем двух и более заявок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первой, все иные представленные заявки возвращаются заявителю. </w:t>
      </w:r>
    </w:p>
    <w:p w14:paraId="268B3ED6">
      <w:pPr>
        <w:ind w:firstLine="851"/>
        <w:jc w:val="both"/>
      </w:pPr>
      <w:r>
        <w:t xml:space="preserve">3.6. В течение двух часов с момента представления заявки на участие в открытых торгах оператор электронной площадки обязан осуществить регистрацию представленной заявки в журнале заявок на участие в торгах, присвоив заявке порядковый номер в указанном журнале. </w:t>
      </w:r>
    </w:p>
    <w:p w14:paraId="772BC248">
      <w:pPr>
        <w:ind w:firstLine="851"/>
        <w:jc w:val="both"/>
      </w:pPr>
      <w:r>
        <w:t>Организатор торгов проверяет наличие полного перечня документов и сведений, содержащихся в представленной заявке, и их соответствие требованиям настоящего раздела и направляет уведомление об этом оператор</w:t>
      </w:r>
      <w:r>
        <w:rPr>
          <w:lang w:val="ru-RU"/>
        </w:rPr>
        <w:t>у</w:t>
      </w:r>
      <w:r>
        <w:t xml:space="preserve"> электронной площадки. </w:t>
      </w:r>
    </w:p>
    <w:p w14:paraId="5A67A528">
      <w:pPr>
        <w:ind w:firstLine="851"/>
        <w:jc w:val="both"/>
      </w:pPr>
      <w:r>
        <w:t xml:space="preserve">В случае установления непредставления заявителем полного перечня документов и сведений в соответствии с требованиями настоящего раздела организатор торгов направляет оператору электронной площадки уведомление о неполноте заявки или ее несоответствии установленным требованиям. </w:t>
      </w:r>
    </w:p>
    <w:p w14:paraId="6FD94BB7">
      <w:pPr>
        <w:ind w:firstLine="851"/>
        <w:jc w:val="both"/>
      </w:pPr>
      <w:r>
        <w:t xml:space="preserve">Не позднее одного часа с момента окончания представления заявок на участие в торгах оператор электронной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 </w:t>
      </w:r>
    </w:p>
    <w:p w14:paraId="5B60EEBB">
      <w:pPr>
        <w:ind w:firstLine="851"/>
        <w:jc w:val="both"/>
      </w:pPr>
      <w:r>
        <w:t xml:space="preserve">Решение организатора торгов о допуске заявителей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настоящим Федеральным законом и указанным в сообщении о проведении торгов. Заявители, допущенные к участию в торгах, признаются участниками торгов. </w:t>
      </w:r>
    </w:p>
    <w:p w14:paraId="2E4D3C1E">
      <w:pPr>
        <w:ind w:firstLine="851"/>
        <w:jc w:val="both"/>
      </w:pPr>
      <w:r>
        <w:t xml:space="preserve">Решение об отказе в допуске заявителя к участию в торгах принимается в случае, если: </w:t>
      </w:r>
    </w:p>
    <w:p w14:paraId="6B77384C">
      <w:pPr>
        <w:ind w:firstLine="851"/>
        <w:jc w:val="both"/>
      </w:pPr>
      <w:r>
        <w:t xml:space="preserve">- 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 </w:t>
      </w:r>
    </w:p>
    <w:p w14:paraId="61B32680">
      <w:pPr>
        <w:ind w:firstLine="851"/>
        <w:jc w:val="both"/>
      </w:pPr>
      <w:r>
        <w:t xml:space="preserve">- представленные заявителем документы не соответствуют установленным к ним требованиям или недостоверны; </w:t>
      </w:r>
    </w:p>
    <w:p w14:paraId="0636750B">
      <w:pPr>
        <w:ind w:firstLine="851"/>
        <w:jc w:val="both"/>
      </w:pPr>
      <w:r>
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46229A2A">
      <w:pPr>
        <w:ind w:firstLine="851"/>
        <w:jc w:val="both"/>
      </w:pPr>
      <w:r>
        <w:t xml:space="preserve">Организатор торгов уведомляет всех заявителей о результатах рассмотрения представленных заявок на участие в торгах и признании или непризнании заявителей участниками торгов посредством направления заявителям в письменной форме или в форме электронного документа копий протокола об определении участников торгов в течение пяти дней со дня подписания указанного протокола. </w:t>
      </w:r>
    </w:p>
    <w:p w14:paraId="7FC06D92">
      <w:pPr>
        <w:ind w:firstLine="851"/>
        <w:jc w:val="both"/>
      </w:pPr>
      <w:r>
        <w:t xml:space="preserve">Решение о признании или об отказе в признании заявителя участником торгов может быть обжаловано в порядке, установленном законодательством Российской Федерации. </w:t>
      </w:r>
    </w:p>
    <w:p w14:paraId="37FF4AC0">
      <w:pPr>
        <w:ind w:firstLine="851"/>
        <w:jc w:val="both"/>
      </w:pPr>
      <w:r>
        <w:t>3.7 Продажа имущества осуществляется с поэтапным понижением цены каждые 3 (три) календарных дня на 10% от начальной цены лота, указанной в сообщении о продаже имущества должника. В 11 этапе цена снижается на 9% от начальной стоимости лота и действует также в течении 3 календарных дней. В 12 периоде цена снижается на 0,9% от начальной стоимости лота и действует также в течении 3 календарных дней. В 13 периоде цена снижается на 0,09% от начальной стоимости лота и действует также в течении 3 календарных дней.</w:t>
      </w:r>
    </w:p>
    <w:p w14:paraId="0FEC9D6B">
      <w:pPr>
        <w:ind w:firstLine="851"/>
        <w:jc w:val="both"/>
      </w:pPr>
      <w:r>
        <w:t xml:space="preserve">Минимальная цена продажи (цена отсечения) имущества составляет 0,01% от начальной цены лота. </w:t>
      </w:r>
    </w:p>
    <w:p w14:paraId="13CA283F">
      <w:pPr>
        <w:ind w:firstLine="851"/>
        <w:jc w:val="both"/>
      </w:pPr>
    </w:p>
    <w:p w14:paraId="20326D69">
      <w:pPr>
        <w:ind w:firstLine="851"/>
        <w:jc w:val="both"/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3"/>
        <w:gridCol w:w="6364"/>
      </w:tblGrid>
      <w:tr w14:paraId="590A9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4953DE4A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b/>
                <w:snapToGrid w:val="0"/>
                <w:lang w:eastAsia="en-US" w:bidi="en-US"/>
              </w:rPr>
            </w:pPr>
            <w:r>
              <w:rPr>
                <w:rFonts w:eastAsia="Calibri"/>
                <w:b/>
                <w:snapToGrid w:val="0"/>
                <w:lang w:eastAsia="en-US" w:bidi="en-US"/>
              </w:rPr>
              <w:t>№ трехдневного периода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6B1E42A5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b/>
                <w:snapToGrid w:val="0"/>
                <w:lang w:eastAsia="en-US" w:bidi="en-US"/>
              </w:rPr>
            </w:pPr>
            <w:r>
              <w:rPr>
                <w:rFonts w:eastAsia="Calibri"/>
                <w:b/>
                <w:snapToGrid w:val="0"/>
                <w:lang w:eastAsia="en-US" w:bidi="en-US"/>
              </w:rPr>
              <w:t>Начальная цена продажи имущества в периоде, руб.</w:t>
            </w:r>
          </w:p>
        </w:tc>
      </w:tr>
      <w:tr w14:paraId="27EC1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5472EBF8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1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5568904A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100% от начальной стоимости лота</w:t>
            </w:r>
          </w:p>
        </w:tc>
      </w:tr>
      <w:tr w14:paraId="7292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2873" w:type="dxa"/>
            <w:shd w:val="clear" w:color="auto" w:fill="auto"/>
            <w:vAlign w:val="center"/>
          </w:tcPr>
          <w:p w14:paraId="17DCE8D1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2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3B5F55FF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90% от начальной стоимости лота</w:t>
            </w:r>
          </w:p>
        </w:tc>
      </w:tr>
      <w:tr w14:paraId="55C0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4AE98F6F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3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2CA472F3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80% от начальной стоимости лота</w:t>
            </w:r>
          </w:p>
        </w:tc>
      </w:tr>
      <w:tr w14:paraId="66372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4FBEF7C7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4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0316895B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70% от начальной стоимости лота</w:t>
            </w:r>
          </w:p>
        </w:tc>
      </w:tr>
      <w:tr w14:paraId="548C7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14DD9A0E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5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5FF49A04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60% от начальной стоимости лота</w:t>
            </w:r>
          </w:p>
        </w:tc>
      </w:tr>
      <w:tr w14:paraId="7516A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37F1ABA1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6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69239856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50% от начальной стоимости лота</w:t>
            </w:r>
          </w:p>
        </w:tc>
      </w:tr>
      <w:tr w14:paraId="76A6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6D630F76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7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247A920C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4</w:t>
            </w:r>
            <w:r>
              <w:rPr>
                <w:rFonts w:eastAsia="Calibri"/>
                <w:snapToGrid w:val="0"/>
                <w:lang w:eastAsia="en-US" w:bidi="en-US"/>
              </w:rPr>
              <w:t>0% от начальной стоимости лота</w:t>
            </w:r>
          </w:p>
        </w:tc>
      </w:tr>
      <w:tr w14:paraId="45F2F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666ABF70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8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376E2FF9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3</w:t>
            </w:r>
            <w:r>
              <w:rPr>
                <w:rFonts w:eastAsia="Calibri"/>
                <w:snapToGrid w:val="0"/>
                <w:lang w:eastAsia="en-US" w:bidi="en-US"/>
              </w:rPr>
              <w:t>0% от начальной стоимости лота</w:t>
            </w:r>
          </w:p>
        </w:tc>
      </w:tr>
      <w:tr w14:paraId="212D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4AABFD77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9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120742AF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2</w:t>
            </w:r>
            <w:r>
              <w:rPr>
                <w:rFonts w:eastAsia="Calibri"/>
                <w:snapToGrid w:val="0"/>
                <w:lang w:eastAsia="en-US" w:bidi="en-US"/>
              </w:rPr>
              <w:t>0% от начальной стоимости лота</w:t>
            </w:r>
          </w:p>
        </w:tc>
      </w:tr>
      <w:tr w14:paraId="7DE2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30143A0D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10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249C4B3A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10% от начальной стоимости лота</w:t>
            </w:r>
          </w:p>
        </w:tc>
      </w:tr>
      <w:tr w14:paraId="6851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668BB268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val="en-US"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11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3DFEBEEB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1% от начальной стоимости лота</w:t>
            </w:r>
          </w:p>
        </w:tc>
      </w:tr>
      <w:tr w14:paraId="0E8B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4D88C3D1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val="en-US"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12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3B24E5A3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0,</w:t>
            </w:r>
            <w:r>
              <w:rPr>
                <w:rFonts w:eastAsia="Calibri"/>
                <w:snapToGrid w:val="0"/>
                <w:lang w:val="en-US" w:eastAsia="en-US" w:bidi="en-US"/>
              </w:rPr>
              <w:t>1</w:t>
            </w:r>
            <w:r>
              <w:rPr>
                <w:rFonts w:eastAsia="Calibri"/>
                <w:snapToGrid w:val="0"/>
                <w:lang w:eastAsia="en-US" w:bidi="en-US"/>
              </w:rPr>
              <w:t>% от начальной стоимости лота</w:t>
            </w:r>
          </w:p>
        </w:tc>
      </w:tr>
      <w:tr w14:paraId="5B55B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3" w:type="dxa"/>
            <w:shd w:val="clear" w:color="auto" w:fill="auto"/>
            <w:vAlign w:val="center"/>
          </w:tcPr>
          <w:p w14:paraId="2E98ACC1">
            <w:pPr>
              <w:tabs>
                <w:tab w:val="left" w:pos="1276"/>
              </w:tabs>
              <w:spacing w:line="240" w:lineRule="atLeast"/>
              <w:jc w:val="center"/>
              <w:rPr>
                <w:rFonts w:eastAsia="Calibri"/>
                <w:snapToGrid w:val="0"/>
                <w:lang w:val="en-US" w:eastAsia="en-US" w:bidi="en-US"/>
              </w:rPr>
            </w:pPr>
            <w:r>
              <w:rPr>
                <w:rFonts w:eastAsia="Calibri"/>
                <w:snapToGrid w:val="0"/>
                <w:lang w:val="en-US" w:eastAsia="en-US" w:bidi="en-US"/>
              </w:rPr>
              <w:t>13</w:t>
            </w:r>
          </w:p>
        </w:tc>
        <w:tc>
          <w:tcPr>
            <w:tcW w:w="6364" w:type="dxa"/>
            <w:shd w:val="clear" w:color="auto" w:fill="auto"/>
            <w:vAlign w:val="center"/>
          </w:tcPr>
          <w:p w14:paraId="35D50778">
            <w:pPr>
              <w:tabs>
                <w:tab w:val="left" w:pos="1276"/>
              </w:tabs>
              <w:spacing w:line="240" w:lineRule="atLeast"/>
              <w:ind w:firstLine="709"/>
              <w:jc w:val="center"/>
              <w:rPr>
                <w:rFonts w:eastAsia="Calibri"/>
                <w:snapToGrid w:val="0"/>
                <w:lang w:eastAsia="en-US" w:bidi="en-US"/>
              </w:rPr>
            </w:pPr>
            <w:r>
              <w:rPr>
                <w:rFonts w:eastAsia="Calibri"/>
                <w:snapToGrid w:val="0"/>
                <w:lang w:eastAsia="en-US" w:bidi="en-US"/>
              </w:rPr>
              <w:t>0,01 % от начальной стоимости лота</w:t>
            </w:r>
          </w:p>
        </w:tc>
      </w:tr>
    </w:tbl>
    <w:p w14:paraId="1C207F2D">
      <w:pPr>
        <w:ind w:firstLine="851"/>
        <w:jc w:val="both"/>
      </w:pPr>
    </w:p>
    <w:p w14:paraId="3D4D042B">
      <w:pPr>
        <w:ind w:firstLine="851"/>
        <w:jc w:val="both"/>
      </w:pPr>
      <w:r>
        <w:t xml:space="preserve">3.8. Рассмотрение организатором торгов представленной заявки на участие в торгах и принятие решения о допуске заявителя к участию в торгах осуществляются в порядке, установленном статьей 110, 139 Закона о несостоятельности (банкротстве). </w:t>
      </w:r>
    </w:p>
    <w:p w14:paraId="2D39CAE0">
      <w:pPr>
        <w:ind w:firstLine="851"/>
        <w:jc w:val="both"/>
      </w:pPr>
      <w:r>
        <w:t xml:space="preserve">3.9. Прием заявок начинается с даты, указанной в публикации сообщения о продаже имущества должника. </w:t>
      </w:r>
    </w:p>
    <w:p w14:paraId="74BA3961">
      <w:pPr>
        <w:ind w:firstLine="851"/>
        <w:jc w:val="both"/>
      </w:pPr>
      <w:r>
        <w:t xml:space="preserve">3.10. При отсутствии в установленный срок заявки на участие в торгах, содержащей предложение о цене имущества должника, которая не ниже установленной начальной цены продажи имущества должника, снижение начальной цены продажи имущества должника осуществляется в сроки, указанные в сообщении о продаже имущества должника посредством публичного предложения. </w:t>
      </w:r>
    </w:p>
    <w:p w14:paraId="2CB4AB2C">
      <w:pPr>
        <w:ind w:firstLine="851"/>
        <w:jc w:val="both"/>
      </w:pPr>
      <w:r>
        <w:t xml:space="preserve">3.11. Право приобретения имущества должника принадлежит участнику торгов по продаже имущества должника посредством публичного предложения, который представил в установленный срок заявку на участие в торгах, содержащую предложение о цене имущества должника, которая не ниже начальной цены продажи имущества должника, установленной для определенного периода проведения торгов, при отсутствии предложений других участников торгов по продаже имущества должника посредством публичного предложения. </w:t>
      </w:r>
    </w:p>
    <w:p w14:paraId="4DA3BA23">
      <w:pPr>
        <w:ind w:firstLine="851"/>
        <w:jc w:val="both"/>
      </w:pPr>
      <w:r>
        <w:t xml:space="preserve">3.12. В случае, если несколько участников торгов по продаже имущества должника посредством публичного предложения представили в установленный срок заявки, содержащие различные предложения о цене имущества должника, но не ниже начальной цены продажи имущества должника, установленной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</w:r>
    </w:p>
    <w:p w14:paraId="7C9F88B2">
      <w:pPr>
        <w:ind w:firstLine="851"/>
        <w:jc w:val="both"/>
      </w:pPr>
      <w:r>
        <w:t xml:space="preserve">3.13 В случае, если несколько участников торгов по продаже имущества должника посредством публичного предложения представили в установленный срок заявки, содержащие равные предложения о цене имущества должника, но не ниже начальной цены продажи имущества должника, установленной для определенного периода проведения торгов, право приобретения имущества должника принадлежит участнику торгов, который первым представил в установленный срок заявку на участие в торгах по продаже имущества должника посредством публичного предложения. </w:t>
      </w:r>
    </w:p>
    <w:p w14:paraId="34BBC7EF">
      <w:pPr>
        <w:ind w:firstLine="851"/>
        <w:jc w:val="both"/>
      </w:pPr>
      <w:r>
        <w:t xml:space="preserve">3.14. В случае отказа или уклонения победителя торгов от подписания (заключения) договора уступки прав требования, в течение пяти дней с даты получения предложения конкурсного управляющего, внесенный задаток ему не возвращается. </w:t>
      </w:r>
    </w:p>
    <w:p w14:paraId="786A2741">
      <w:pPr>
        <w:ind w:firstLine="851"/>
        <w:jc w:val="both"/>
      </w:pPr>
      <w:r>
        <w:t xml:space="preserve">Конкурсный управляющий вправе предложить заключить договор уступки прав требования участнику торгов, которым в установленный срок представлена заявка на участие в торгах, содержащая наиболее высокое предложение о цене имущества по сравнению с ценой, предложенной другими участниками торгов, за исключением победителя торгов, но не ниже начальной цены продажи имущества, установленной для определенного периода торгов. </w:t>
      </w:r>
    </w:p>
    <w:p w14:paraId="5069BCE4">
      <w:pPr>
        <w:ind w:firstLine="851"/>
        <w:jc w:val="both"/>
      </w:pPr>
      <w:r>
        <w:t xml:space="preserve">При отсутствии заявок, помимо заявки на участие в торгах участника, признанного победителем, представленных другими участниками, содержащих предложение о цене имущества должника, которая не ниже цены продажи, установленной в определенный период проведения торгов, прием заявок для участия в торгах по продаже имущества должника посредством публичного предложения возобновляется с периода, следующим за периодом по завершении которого был определен победитель и прием заявок был прекращен. Начальная цена продажи имущества должника устанавливается равной цене для определенного периода, с которого возобновляется прием заявок. </w:t>
      </w:r>
    </w:p>
    <w:p w14:paraId="4412CE9B">
      <w:pPr>
        <w:ind w:firstLine="851"/>
        <w:jc w:val="both"/>
      </w:pPr>
      <w:r>
        <w:t xml:space="preserve">Организатор торгов в целях возобновления торгов по продаже имущества должника в форме публичного предложения размещает соответствующее сообщение на сайте ЕФРСБ, а также направляет оператору электронной площадки сообщение о возобновлении торгов. </w:t>
      </w:r>
    </w:p>
    <w:p w14:paraId="1A240121">
      <w:pPr>
        <w:ind w:firstLine="851"/>
        <w:jc w:val="both"/>
      </w:pPr>
      <w:r>
        <w:t xml:space="preserve">3.15. В случае нарушения победителем торгов - покупателем сроков оплаты, отказа от оплаты, отказа от исполнения существенных условий договора, договор уступки прав требования расторгается конкурсным управляющим в одностороннем порядке. Покупатель (победитель торгов) утрачивает право на приобретение имущества. В этом случае задаток, внесенный покупателем (победителем торгов), ему не возвращается, а включается в состав конкурсной массы Должника. </w:t>
      </w:r>
    </w:p>
    <w:p w14:paraId="24E27024">
      <w:pPr>
        <w:ind w:firstLine="851"/>
        <w:jc w:val="both"/>
      </w:pPr>
      <w:r>
        <w:t xml:space="preserve">Конкурсный управляющий вправе предложить заключить договор уступки прав требования участнику торгов, которым в установленный срок представлена заявка на участие в торгах, содержащая наиболее высокое предложение о цене имущества по сравнению с ценой, предложенной другими участниками торгов, за исключением победителя торгов, но не ниже начальной цены продажи имущества, установленной для определенного периода торгов. </w:t>
      </w:r>
    </w:p>
    <w:p w14:paraId="517AF792">
      <w:pPr>
        <w:ind w:firstLine="851"/>
        <w:jc w:val="both"/>
      </w:pPr>
      <w:r>
        <w:t xml:space="preserve">При отсутствии заявок, помимо заявки на участие в торгах участника, признанного победителем, представленных другими участниками, содержащих предложение о цене имущества должника, которая не ниже цены продажи установленной в определенный период проведения торгов, прием заявок для участия в торгах по продаже имущества должника посредством публичного предложения возобновляется с периода, следующим за периодом по завершении которого был определен победитель и прием заявок был прекращен. Начальная цена продажи имущества должника устанавливается равной цене для определенного периода, с которого возобновляется прием заявок. </w:t>
      </w:r>
    </w:p>
    <w:p w14:paraId="5E19244D">
      <w:pPr>
        <w:ind w:firstLine="851"/>
        <w:jc w:val="both"/>
      </w:pPr>
      <w:r>
        <w:t xml:space="preserve">Организатор торгов в целях возобновления торгов по продаже имущества должника в форме публичного предложения размещает соответствующее сообщение на сайте ЕФРСБ, а также направляет оператору электронной площадки сообщение о возобновлении торгов. </w:t>
      </w:r>
    </w:p>
    <w:p w14:paraId="584B9474">
      <w:pPr>
        <w:ind w:firstLine="851"/>
        <w:jc w:val="both"/>
      </w:pPr>
      <w:r>
        <w:t xml:space="preserve">3.16. Суммы внесенных заявителями задатков возвращаются всем заявителям, за исключением победителя торгов, в течение пяти рабочих дней со дня подписания протокола о результатах проведения торгов. </w:t>
      </w:r>
    </w:p>
    <w:p w14:paraId="1309A339">
      <w:pPr>
        <w:jc w:val="both"/>
      </w:pPr>
    </w:p>
    <w:p w14:paraId="25ED950B">
      <w:pPr>
        <w:jc w:val="center"/>
        <w:rPr>
          <w:b/>
          <w:bCs/>
        </w:rPr>
      </w:pPr>
      <w:r>
        <w:rPr>
          <w:b/>
          <w:bCs/>
        </w:rPr>
        <w:t>4. ЗАКЛЮЧЕНИЕ ДОГОВОРА УСТУПКИ ПРАВ ТРЕБОВАНИЯ</w:t>
      </w:r>
    </w:p>
    <w:p w14:paraId="61B37072">
      <w:pPr>
        <w:jc w:val="center"/>
        <w:rPr>
          <w:b/>
          <w:bCs/>
        </w:rPr>
      </w:pPr>
    </w:p>
    <w:p w14:paraId="4B7445F3">
      <w:pPr>
        <w:ind w:firstLine="851"/>
        <w:jc w:val="both"/>
      </w:pPr>
      <w:r>
        <w:t xml:space="preserve">4.1. Продажа имущества должника оформляется договором уступки прав требования, который заключает конкурсный управляющий Должника с победителем торгов. </w:t>
      </w:r>
    </w:p>
    <w:p w14:paraId="68E380FD">
      <w:pPr>
        <w:ind w:firstLine="851"/>
        <w:jc w:val="both"/>
      </w:pPr>
      <w:r>
        <w:t xml:space="preserve">В течение пяти рабочих дней с даты подписания протокола о результатах проведения торгов конкурсный управляющий направляет победителю торгов предложение заключить договор уступки прав требования с приложением проекта данного договора в соответствии с представленным победителем торгов предложением о цене имущества должника. </w:t>
      </w:r>
    </w:p>
    <w:p w14:paraId="682B77B1">
      <w:pPr>
        <w:ind w:firstLine="851"/>
        <w:jc w:val="both"/>
      </w:pPr>
      <w:r>
        <w:t xml:space="preserve">Организатор торгов в течение трех рабочих дней со дня заключения договора уступки прав требования направляет для размещения в Единый федеральный реестр сведений о банкротстве сведения о заключении договора уступки прав требования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которой имущество приобретено покупателем). </w:t>
      </w:r>
    </w:p>
    <w:p w14:paraId="46F07490">
      <w:pPr>
        <w:ind w:firstLine="851"/>
        <w:jc w:val="both"/>
      </w:pPr>
      <w:r>
        <w:t>4.2. Обязательными условиями договора уступки прав требования являются:</w:t>
      </w:r>
    </w:p>
    <w:p w14:paraId="2BBADA01">
      <w:pPr>
        <w:ind w:firstLine="851"/>
        <w:jc w:val="both"/>
      </w:pPr>
      <w:r>
        <w:t xml:space="preserve">- сведения об имуществе, индивидуализирующие его, а также цена имущества; </w:t>
      </w:r>
    </w:p>
    <w:p w14:paraId="2BBD6F14">
      <w:pPr>
        <w:ind w:firstLine="851"/>
        <w:jc w:val="both"/>
      </w:pPr>
      <w:r>
        <w:t>- срок перечисления денежных средств - 30 календарных дней с момента подписания договора сторонами;</w:t>
      </w:r>
    </w:p>
    <w:p w14:paraId="02C6B353">
      <w:pPr>
        <w:ind w:firstLine="851"/>
        <w:jc w:val="both"/>
      </w:pPr>
      <w:r>
        <w:t>- форма платежа - безналичная;</w:t>
      </w:r>
    </w:p>
    <w:p w14:paraId="147E14E2">
      <w:pPr>
        <w:ind w:firstLine="851"/>
        <w:jc w:val="both"/>
      </w:pPr>
      <w:r>
        <w:t>-задаток – зачитывается в счет оплаты предмета торгов;</w:t>
      </w:r>
    </w:p>
    <w:p w14:paraId="5A326A70">
      <w:pPr>
        <w:ind w:firstLine="851"/>
        <w:jc w:val="both"/>
      </w:pPr>
      <w:r>
        <w:t xml:space="preserve">- порядок передачи имущества покупателю – в течение 10-ти рабочих дней после поступления денежных средств от победителя торгов на расчетный счет Должника. </w:t>
      </w:r>
    </w:p>
    <w:p w14:paraId="64383DEB">
      <w:pPr>
        <w:ind w:firstLine="851"/>
        <w:jc w:val="both"/>
      </w:pPr>
      <w:r>
        <w:t>- иные предусмотренные законодательством Российской Федерации условия.</w:t>
      </w:r>
    </w:p>
    <w:p w14:paraId="693D5056">
      <w:pPr>
        <w:ind w:firstLine="851"/>
        <w:jc w:val="both"/>
      </w:pPr>
      <w:r>
        <w:t>4.3. Срок перечисления денежных средств с момента подписания договора уступки прав требования сторонами - 30 календарных дней.</w:t>
      </w:r>
    </w:p>
    <w:p w14:paraId="4F64F410">
      <w:pPr>
        <w:ind w:firstLine="851"/>
        <w:jc w:val="both"/>
      </w:pPr>
      <w:r>
        <w:t xml:space="preserve">4.4. Существенным условием настоящего Предложения является переход права требования цедента цессионарию только с момента полной оплаты по договору уступки права требования, который заключается между конкурсным управляющим и победителем торгов. </w:t>
      </w:r>
    </w:p>
    <w:p w14:paraId="35267188">
      <w:pPr>
        <w:ind w:firstLine="851"/>
        <w:jc w:val="both"/>
      </w:pPr>
      <w:r>
        <w:t xml:space="preserve">4.5. Денежные средства, вырученные от продажи имущества, включаются в состав имущества должника и распределяются согласно требованиям ФЗ РФ «О несостоятельности (банкротстве)». </w:t>
      </w:r>
    </w:p>
    <w:sectPr>
      <w:footerReference r:id="rId5" w:type="default"/>
      <w:pgSz w:w="11906" w:h="16838"/>
      <w:pgMar w:top="709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,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7192138"/>
      <w:docPartObj>
        <w:docPartGallery w:val="autotext"/>
      </w:docPartObj>
    </w:sdtPr>
    <w:sdtContent>
      <w:p w14:paraId="46A60E68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05D9DAD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722A6"/>
    <w:multiLevelType w:val="multilevel"/>
    <w:tmpl w:val="52A722A6"/>
    <w:lvl w:ilvl="0" w:tentative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3338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5171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6022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6513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7364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785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40"/>
    <w:rsid w:val="0000437E"/>
    <w:rsid w:val="000109F6"/>
    <w:rsid w:val="00047976"/>
    <w:rsid w:val="00074A0F"/>
    <w:rsid w:val="00092F78"/>
    <w:rsid w:val="000B6C8A"/>
    <w:rsid w:val="000F0E53"/>
    <w:rsid w:val="00110CC0"/>
    <w:rsid w:val="0011509D"/>
    <w:rsid w:val="001755D3"/>
    <w:rsid w:val="001A4B3A"/>
    <w:rsid w:val="001B03A0"/>
    <w:rsid w:val="001B631C"/>
    <w:rsid w:val="0026370D"/>
    <w:rsid w:val="00296D93"/>
    <w:rsid w:val="002A13B8"/>
    <w:rsid w:val="002B6DAF"/>
    <w:rsid w:val="002C0C67"/>
    <w:rsid w:val="002E6379"/>
    <w:rsid w:val="00332B7C"/>
    <w:rsid w:val="0034046A"/>
    <w:rsid w:val="00393F40"/>
    <w:rsid w:val="003B3620"/>
    <w:rsid w:val="003C2343"/>
    <w:rsid w:val="003D3A9F"/>
    <w:rsid w:val="003F328E"/>
    <w:rsid w:val="004162CD"/>
    <w:rsid w:val="004729C3"/>
    <w:rsid w:val="00484740"/>
    <w:rsid w:val="004B08FC"/>
    <w:rsid w:val="004B15A4"/>
    <w:rsid w:val="004C0935"/>
    <w:rsid w:val="004C145C"/>
    <w:rsid w:val="00501E08"/>
    <w:rsid w:val="00521950"/>
    <w:rsid w:val="00567607"/>
    <w:rsid w:val="0058257B"/>
    <w:rsid w:val="005A2775"/>
    <w:rsid w:val="005A312D"/>
    <w:rsid w:val="005E19A7"/>
    <w:rsid w:val="005F742F"/>
    <w:rsid w:val="0062430F"/>
    <w:rsid w:val="00625C20"/>
    <w:rsid w:val="006673E7"/>
    <w:rsid w:val="00673245"/>
    <w:rsid w:val="00693833"/>
    <w:rsid w:val="006B394E"/>
    <w:rsid w:val="006B3E30"/>
    <w:rsid w:val="006E08DB"/>
    <w:rsid w:val="006E3C03"/>
    <w:rsid w:val="006F0D6F"/>
    <w:rsid w:val="007072B2"/>
    <w:rsid w:val="00741FD3"/>
    <w:rsid w:val="007438C0"/>
    <w:rsid w:val="00775A8E"/>
    <w:rsid w:val="00795C58"/>
    <w:rsid w:val="00816873"/>
    <w:rsid w:val="00837DBF"/>
    <w:rsid w:val="00862F4A"/>
    <w:rsid w:val="008B4C91"/>
    <w:rsid w:val="008C4716"/>
    <w:rsid w:val="008E4146"/>
    <w:rsid w:val="00950805"/>
    <w:rsid w:val="0098137E"/>
    <w:rsid w:val="00985E2F"/>
    <w:rsid w:val="00A14A38"/>
    <w:rsid w:val="00A5313D"/>
    <w:rsid w:val="00A6794D"/>
    <w:rsid w:val="00AB7987"/>
    <w:rsid w:val="00AD1059"/>
    <w:rsid w:val="00AF1D3A"/>
    <w:rsid w:val="00B10CD9"/>
    <w:rsid w:val="00B1403B"/>
    <w:rsid w:val="00B46D73"/>
    <w:rsid w:val="00B7201A"/>
    <w:rsid w:val="00B929AD"/>
    <w:rsid w:val="00B9707E"/>
    <w:rsid w:val="00BE3542"/>
    <w:rsid w:val="00C14D4C"/>
    <w:rsid w:val="00C337E7"/>
    <w:rsid w:val="00C41317"/>
    <w:rsid w:val="00D10F41"/>
    <w:rsid w:val="00D15032"/>
    <w:rsid w:val="00D41AD6"/>
    <w:rsid w:val="00D877F9"/>
    <w:rsid w:val="00DA07D6"/>
    <w:rsid w:val="00DC4A0C"/>
    <w:rsid w:val="00DE06FA"/>
    <w:rsid w:val="00E41350"/>
    <w:rsid w:val="00E41B42"/>
    <w:rsid w:val="00E71F0E"/>
    <w:rsid w:val="00EC1ED3"/>
    <w:rsid w:val="00ED6FE0"/>
    <w:rsid w:val="00EE1CC8"/>
    <w:rsid w:val="00F6017D"/>
    <w:rsid w:val="00F96915"/>
    <w:rsid w:val="00FB2429"/>
    <w:rsid w:val="00FF2DA9"/>
    <w:rsid w:val="103C78A8"/>
    <w:rsid w:val="34654D40"/>
    <w:rsid w:val="4F9A2823"/>
    <w:rsid w:val="6C0D2DCA"/>
    <w:rsid w:val="7FCC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C6FAC" w:themeColor="accent1" w:themeShade="B5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12"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3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Normal (Web)"/>
    <w:basedOn w:val="1"/>
    <w:uiPriority w:val="99"/>
    <w:pPr>
      <w:spacing w:before="240" w:after="240"/>
    </w:pPr>
  </w:style>
  <w:style w:type="paragraph" w:styleId="8">
    <w:name w:val="HTML Preformatted"/>
    <w:basedOn w:val="1"/>
    <w:link w:val="15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9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2C6FAC" w:themeColor="accent1" w:themeShade="B5"/>
      <w:sz w:val="32"/>
      <w:szCs w:val="32"/>
      <w:lang w:eastAsia="ru-RU"/>
    </w:rPr>
  </w:style>
  <w:style w:type="paragraph" w:customStyle="1" w:styleId="10">
    <w:name w:val="Основной текст 21"/>
    <w:basedOn w:val="1"/>
    <w:qFormat/>
    <w:uiPriority w:val="0"/>
    <w:pPr>
      <w:widowControl w:val="0"/>
      <w:suppressAutoHyphens/>
      <w:autoSpaceDE w:val="0"/>
      <w:jc w:val="both"/>
    </w:pPr>
    <w:rPr>
      <w:lang w:eastAsia="ar-SA"/>
    </w:rPr>
  </w:style>
  <w:style w:type="paragraph" w:styleId="11">
    <w:name w:val="List Paragraph"/>
    <w:basedOn w:val="1"/>
    <w:qFormat/>
    <w:uiPriority w:val="34"/>
    <w:pPr>
      <w:ind w:left="720" w:firstLine="709"/>
      <w:contextualSpacing/>
      <w:jc w:val="both"/>
    </w:pPr>
    <w:rPr>
      <w:rFonts w:eastAsia="Calibri"/>
      <w:lang w:eastAsia="en-US" w:bidi="en-US"/>
    </w:rPr>
  </w:style>
  <w:style w:type="character" w:customStyle="1" w:styleId="12">
    <w:name w:val="Верхний колонтитул Знак"/>
    <w:basedOn w:val="3"/>
    <w:link w:val="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"/>
    <w:basedOn w:val="3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4">
    <w:name w:val="_Style 12"/>
    <w:basedOn w:val="1"/>
    <w:next w:val="7"/>
    <w:unhideWhenUsed/>
    <w:uiPriority w:val="99"/>
    <w:pPr>
      <w:spacing w:before="240" w:after="240"/>
    </w:pPr>
  </w:style>
  <w:style w:type="character" w:customStyle="1" w:styleId="15">
    <w:name w:val="Стандартный HTML Знак"/>
    <w:basedOn w:val="3"/>
    <w:link w:val="8"/>
    <w:semiHidden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8">
    <w:name w:val="copy_target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3305</Words>
  <Characters>18840</Characters>
  <Lines>157</Lines>
  <Paragraphs>44</Paragraphs>
  <TotalTime>12</TotalTime>
  <ScaleCrop>false</ScaleCrop>
  <LinksUpToDate>false</LinksUpToDate>
  <CharactersWithSpaces>22101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2022-07-22T04:47:00Z</dcterms:created>
  <dc:creator>Михаил Янкин</dc:creator>
  <cp:lastModifiedBy>WPS_1686207294</cp:lastModifiedBy>
  <cp:lastPrinted>2024-12-05T13:19:02Z</cp:lastPrinted>
  <dcterms:modified xsi:type="dcterms:W3CDTF">2024-12-05T13:19:08Z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EEBDE5CCBECF433BBB3DE3925DC865B9_13</vt:lpwstr>
  </property>
</Properties>
</file>