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35AE4F30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C3004D">
        <w:rPr>
          <w:b/>
          <w:sz w:val="23"/>
          <w:szCs w:val="23"/>
        </w:rPr>
        <w:t>Червоношапка</w:t>
      </w:r>
      <w:proofErr w:type="spellEnd"/>
      <w:r w:rsidR="00C3004D">
        <w:rPr>
          <w:b/>
          <w:sz w:val="23"/>
          <w:szCs w:val="23"/>
        </w:rPr>
        <w:t xml:space="preserve"> Ирина Алексеевна</w:t>
      </w:r>
      <w:r w:rsidR="00902904">
        <w:rPr>
          <w:sz w:val="23"/>
          <w:szCs w:val="23"/>
        </w:rPr>
        <w:t xml:space="preserve">, </w:t>
      </w:r>
      <w:r w:rsidR="00C3004D">
        <w:rPr>
          <w:sz w:val="23"/>
          <w:szCs w:val="23"/>
        </w:rPr>
        <w:t>02 июня</w:t>
      </w:r>
      <w:r w:rsidR="00902904">
        <w:rPr>
          <w:sz w:val="23"/>
          <w:szCs w:val="23"/>
        </w:rPr>
        <w:t xml:space="preserve"> 19</w:t>
      </w:r>
      <w:r w:rsidR="00C3004D">
        <w:rPr>
          <w:sz w:val="23"/>
          <w:szCs w:val="23"/>
        </w:rPr>
        <w:t>61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3004D">
        <w:rPr>
          <w:sz w:val="23"/>
          <w:szCs w:val="23"/>
        </w:rPr>
        <w:t>гор. Торопец Калининской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</w:t>
      </w:r>
      <w:r w:rsidR="00C3004D">
        <w:rPr>
          <w:sz w:val="23"/>
          <w:szCs w:val="23"/>
        </w:rPr>
        <w:t>28 05 681489</w:t>
      </w:r>
      <w:r w:rsidR="00902904">
        <w:rPr>
          <w:sz w:val="23"/>
          <w:szCs w:val="23"/>
        </w:rPr>
        <w:t xml:space="preserve">, выдан </w:t>
      </w:r>
      <w:r w:rsidR="00C3004D">
        <w:rPr>
          <w:sz w:val="23"/>
          <w:szCs w:val="23"/>
        </w:rPr>
        <w:t>Торопецким отделом внутренних дел Тверской области</w:t>
      </w:r>
      <w:r w:rsidR="00902904">
        <w:rPr>
          <w:sz w:val="23"/>
          <w:szCs w:val="23"/>
        </w:rPr>
        <w:t xml:space="preserve"> </w:t>
      </w:r>
      <w:r w:rsidR="00C3004D">
        <w:rPr>
          <w:sz w:val="23"/>
          <w:szCs w:val="23"/>
        </w:rPr>
        <w:t>17</w:t>
      </w:r>
      <w:r w:rsidR="00902904">
        <w:rPr>
          <w:sz w:val="23"/>
          <w:szCs w:val="23"/>
        </w:rPr>
        <w:t>.</w:t>
      </w:r>
      <w:r w:rsidR="00C3004D">
        <w:rPr>
          <w:sz w:val="23"/>
          <w:szCs w:val="23"/>
        </w:rPr>
        <w:t>10</w:t>
      </w:r>
      <w:r w:rsidR="00902904">
        <w:rPr>
          <w:sz w:val="23"/>
          <w:szCs w:val="23"/>
        </w:rPr>
        <w:t>.20</w:t>
      </w:r>
      <w:r w:rsidR="00C3004D">
        <w:rPr>
          <w:sz w:val="23"/>
          <w:szCs w:val="23"/>
        </w:rPr>
        <w:t>06</w:t>
      </w:r>
      <w:r w:rsidR="00902904">
        <w:rPr>
          <w:sz w:val="23"/>
          <w:szCs w:val="23"/>
        </w:rPr>
        <w:t xml:space="preserve"> года, код подразделения 6</w:t>
      </w:r>
      <w:r w:rsidR="00C3004D">
        <w:rPr>
          <w:sz w:val="23"/>
          <w:szCs w:val="23"/>
        </w:rPr>
        <w:t>92</w:t>
      </w:r>
      <w:r w:rsidR="00902904">
        <w:rPr>
          <w:sz w:val="23"/>
          <w:szCs w:val="23"/>
        </w:rPr>
        <w:t>-0</w:t>
      </w:r>
      <w:r w:rsidR="00C3004D">
        <w:rPr>
          <w:sz w:val="23"/>
          <w:szCs w:val="23"/>
        </w:rPr>
        <w:t>37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C3004D">
        <w:rPr>
          <w:sz w:val="23"/>
          <w:szCs w:val="23"/>
        </w:rPr>
        <w:t xml:space="preserve">Великолукский р-н, д. </w:t>
      </w:r>
      <w:proofErr w:type="spellStart"/>
      <w:r w:rsidR="00C3004D">
        <w:rPr>
          <w:sz w:val="23"/>
          <w:szCs w:val="23"/>
        </w:rPr>
        <w:t>Копытово</w:t>
      </w:r>
      <w:proofErr w:type="spellEnd"/>
      <w:r w:rsidR="00C3004D">
        <w:rPr>
          <w:sz w:val="23"/>
          <w:szCs w:val="23"/>
        </w:rPr>
        <w:t>, ул. Пригородная, д.5</w:t>
      </w:r>
      <w:r w:rsidR="00902904">
        <w:rPr>
          <w:sz w:val="23"/>
          <w:szCs w:val="23"/>
        </w:rPr>
        <w:t>, именуем</w:t>
      </w:r>
      <w:r w:rsidR="00C3004D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1CDFC16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C3004D">
        <w:rPr>
          <w:sz w:val="23"/>
          <w:szCs w:val="23"/>
        </w:rPr>
        <w:t>города Москвы</w:t>
      </w:r>
      <w:r>
        <w:rPr>
          <w:sz w:val="23"/>
          <w:szCs w:val="23"/>
        </w:rPr>
        <w:t xml:space="preserve"> от </w:t>
      </w:r>
      <w:r w:rsidR="00C3004D">
        <w:rPr>
          <w:sz w:val="23"/>
          <w:szCs w:val="23"/>
        </w:rPr>
        <w:t>22 мая</w:t>
      </w:r>
      <w:r>
        <w:rPr>
          <w:sz w:val="23"/>
          <w:szCs w:val="23"/>
        </w:rPr>
        <w:t xml:space="preserve"> 202</w:t>
      </w:r>
      <w:r w:rsidR="0041032F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</w:t>
      </w:r>
      <w:r w:rsidR="00C3004D">
        <w:rPr>
          <w:sz w:val="23"/>
          <w:szCs w:val="23"/>
        </w:rPr>
        <w:t>40</w:t>
      </w:r>
      <w:r>
        <w:rPr>
          <w:sz w:val="23"/>
          <w:szCs w:val="23"/>
        </w:rPr>
        <w:t>-</w:t>
      </w:r>
      <w:r w:rsidR="00C3004D">
        <w:rPr>
          <w:sz w:val="23"/>
          <w:szCs w:val="23"/>
        </w:rPr>
        <w:t>79801</w:t>
      </w:r>
      <w:r>
        <w:rPr>
          <w:sz w:val="23"/>
          <w:szCs w:val="23"/>
        </w:rPr>
        <w:t>/202</w:t>
      </w:r>
      <w:r w:rsidR="0041032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2F2D44C8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</w:t>
      </w:r>
      <w:r w:rsidR="00C3004D">
        <w:t>40</w:t>
      </w:r>
      <w:r w:rsidR="00D0259D" w:rsidRPr="00151800">
        <w:t>-</w:t>
      </w:r>
      <w:r w:rsidR="00C3004D">
        <w:t>79801</w:t>
      </w:r>
      <w:r w:rsidR="003F05D2" w:rsidRPr="00151800">
        <w:t>/202</w:t>
      </w:r>
      <w:r w:rsidR="0041032F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C3004D" w:rsidRPr="00C3004D">
        <w:rPr>
          <w:b/>
        </w:rPr>
        <w:t xml:space="preserve">½ доля в праве общей долевой собственности на жилой дом площадью 187.7 кв.м., с кадастровым номером: 69:34:0070708:56, находящийся по адресу: Тверская область, муниципальный округ Торопецкий, город Торопец, улица </w:t>
      </w:r>
      <w:proofErr w:type="spellStart"/>
      <w:r w:rsidR="00C3004D" w:rsidRPr="00C3004D">
        <w:rPr>
          <w:b/>
        </w:rPr>
        <w:t>Привалье</w:t>
      </w:r>
      <w:proofErr w:type="spellEnd"/>
      <w:r w:rsidR="00C3004D" w:rsidRPr="00C3004D">
        <w:rPr>
          <w:b/>
        </w:rPr>
        <w:t>, дом 1а.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170642F" w14:textId="77777777" w:rsidR="00C3004D" w:rsidRDefault="009551FB" w:rsidP="00C3004D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proofErr w:type="spellStart"/>
      <w:r w:rsidR="00C3004D">
        <w:t>Червоношапка</w:t>
      </w:r>
      <w:proofErr w:type="spellEnd"/>
      <w:r w:rsidR="00C3004D">
        <w:t xml:space="preserve"> Ирина Алексеевна</w:t>
      </w:r>
    </w:p>
    <w:p w14:paraId="26AB0179" w14:textId="2FC043B4" w:rsidR="00B3669E" w:rsidRPr="00B3669E" w:rsidRDefault="00C3004D" w:rsidP="00C3004D">
      <w:pPr>
        <w:pStyle w:val="Default"/>
        <w:jc w:val="both"/>
      </w:pPr>
      <w:r>
        <w:t>Счет 40817810550205819383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F0846C0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4127999C" w14:textId="77777777" w:rsidR="00C3004D" w:rsidRPr="00151800" w:rsidRDefault="00C3004D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032F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17307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3004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C1D53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2025-11-25T01:29:00Z</dcterms:modified>
</cp:coreProperties>
</file>