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E9" w:rsidRPr="001A0B63" w:rsidRDefault="001A0B63" w:rsidP="001A0B6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A0B63">
        <w:rPr>
          <w:rFonts w:ascii="Times New Roman" w:hAnsi="Times New Roman" w:cs="Times New Roman"/>
          <w:sz w:val="24"/>
          <w:szCs w:val="24"/>
          <w:u w:val="single"/>
        </w:rPr>
        <w:t>ПРОЕКТ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E2523B">
        <w:rPr>
          <w:rFonts w:ascii="Times New Roman" w:hAnsi="Times New Roman" w:cs="Times New Roman"/>
          <w:sz w:val="24"/>
          <w:szCs w:val="24"/>
        </w:rPr>
        <w:t>5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:rsidR="00727DE9" w:rsidRPr="00CA57B7" w:rsidRDefault="001F3A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1F3A8A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Адыгёзаловой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Ровшаны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 xml:space="preserve"> (дата рождения: 29.10.1984 г.р., место рождения: с.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Денюк-Кырыклы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 xml:space="preserve"> р-он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Товуз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A8A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1F3A8A">
        <w:rPr>
          <w:rFonts w:ascii="Times New Roman" w:hAnsi="Times New Roman" w:cs="Times New Roman"/>
          <w:sz w:val="24"/>
          <w:szCs w:val="24"/>
        </w:rPr>
        <w:t>. Азербайджан, ИНН: 772408214493, СНИЛС:167-922-755 12, адрес регистрации: 111555, г. Москва, ул. Сталеваров, д. 10, к.2, кв. 361) 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Решения Арбитражного суда города Москвы от 25 ноября 2024г по делу №А40-242131/2024-106-555 Ф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3A8A" w:rsidRPr="001F3A8A" w:rsidRDefault="00782C12" w:rsidP="001F3A8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Адыгёзаловой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Ровшаны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Ибрагим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кызы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Адыгёзаловой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Ровшаны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Ибрагим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кызы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Адыгёзаловой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Ровшаны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Ибрагим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кызы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Земельный участок, расположенным по адресу: Московская обл., Дмитровский р-н, с/пос.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Костинское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, д.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Морозово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 xml:space="preserve">, кадастровый номер: 50:04:0120601:602, категория земель: земли сельскохозяйственного назначения, вид разрешенного использования: для дачного строительства, площадь 806 </w:t>
      </w:r>
      <w:proofErr w:type="spellStart"/>
      <w:r w:rsidR="001F3A8A" w:rsidRPr="001F3A8A">
        <w:rPr>
          <w:rFonts w:ascii="Times New Roman" w:hAnsi="Times New Roman" w:cs="Times New Roman"/>
          <w:sz w:val="24"/>
        </w:rPr>
        <w:t>кв.м</w:t>
      </w:r>
      <w:proofErr w:type="spellEnd"/>
      <w:r w:rsidR="001F3A8A" w:rsidRPr="001F3A8A">
        <w:rPr>
          <w:rFonts w:ascii="Times New Roman" w:hAnsi="Times New Roman" w:cs="Times New Roman"/>
          <w:sz w:val="24"/>
        </w:rPr>
        <w:t>.;</w:t>
      </w:r>
    </w:p>
    <w:p w:rsidR="00CC7CA6" w:rsidRPr="001F3A8A" w:rsidRDefault="001F3A8A" w:rsidP="001F3A8A">
      <w:pPr>
        <w:jc w:val="both"/>
        <w:rPr>
          <w:rFonts w:ascii="Times New Roman" w:hAnsi="Times New Roman" w:cs="Times New Roman"/>
          <w:sz w:val="24"/>
        </w:rPr>
      </w:pPr>
      <w:r w:rsidRPr="001F3A8A">
        <w:rPr>
          <w:rFonts w:ascii="Times New Roman" w:hAnsi="Times New Roman" w:cs="Times New Roman"/>
          <w:sz w:val="24"/>
        </w:rPr>
        <w:t xml:space="preserve">- Зданием, расположено по адресу: Московская область, городской округ Дмитровский, деревня </w:t>
      </w:r>
      <w:proofErr w:type="spellStart"/>
      <w:r w:rsidRPr="001F3A8A">
        <w:rPr>
          <w:rFonts w:ascii="Times New Roman" w:hAnsi="Times New Roman" w:cs="Times New Roman"/>
          <w:sz w:val="24"/>
        </w:rPr>
        <w:t>Морозово</w:t>
      </w:r>
      <w:proofErr w:type="spellEnd"/>
      <w:r w:rsidRPr="001F3A8A">
        <w:rPr>
          <w:rFonts w:ascii="Times New Roman" w:hAnsi="Times New Roman" w:cs="Times New Roman"/>
          <w:sz w:val="24"/>
        </w:rPr>
        <w:t xml:space="preserve">, кадастровый номер: 50:04:0120601:2147, площадь 163,5 </w:t>
      </w:r>
      <w:proofErr w:type="spellStart"/>
      <w:r w:rsidRPr="001F3A8A">
        <w:rPr>
          <w:rFonts w:ascii="Times New Roman" w:hAnsi="Times New Roman" w:cs="Times New Roman"/>
          <w:sz w:val="24"/>
        </w:rPr>
        <w:t>кв.м</w:t>
      </w:r>
      <w:proofErr w:type="spellEnd"/>
      <w:r w:rsidRPr="001F3A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</w:t>
      </w:r>
      <w:r w:rsidR="00CB50B1" w:rsidRPr="00CB50B1">
        <w:rPr>
          <w:rFonts w:ascii="Times New Roman" w:hAnsi="Times New Roman" w:cs="Times New Roman"/>
          <w:color w:val="333333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>
        <w:t xml:space="preserve"> </w:t>
      </w:r>
      <w:r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>
        <w:rPr>
          <w:rFonts w:ascii="Times New Roman" w:hAnsi="Times New Roman" w:cs="Times New Roman"/>
          <w:sz w:val="24"/>
        </w:rPr>
        <w:t>соглашения</w:t>
      </w:r>
      <w:bookmarkStart w:id="3" w:name="_GoBack"/>
      <w:bookmarkEnd w:id="3"/>
      <w:r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lastRenderedPageBreak/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:rsidTr="001A0B63">
        <w:tc>
          <w:tcPr>
            <w:tcW w:w="5387" w:type="dxa"/>
            <w:gridSpan w:val="2"/>
            <w:shd w:val="clear" w:color="auto" w:fill="auto"/>
          </w:tcPr>
          <w:p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Финансовый управляющий имуществом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Адыгёзаловой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Ровшаны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Ибрагим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кызы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</w:t>
            </w: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Лебедева О.Н.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Московский банк ПАО Сбербанк № 9038/0174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ИНН: 7707083893 ОГРН: 1027700132195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proofErr w:type="spellStart"/>
            <w:proofErr w:type="gram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Местонахождение:г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.</w:t>
            </w:r>
            <w:proofErr w:type="gram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 Москва, ул.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Б.Тульская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, д. 2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Кор. счет: 30101810400000000225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БИК: 044525225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Счет получателя: 40817810838068810105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Ф.И.О. Получатель: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Адыгёзалова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Ровшана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 Ибрагим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кызы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 </w:t>
            </w:r>
          </w:p>
          <w:p w:rsidR="001F3A8A" w:rsidRDefault="001F3A8A" w:rsidP="00475FF2">
            <w:pPr>
              <w:shd w:val="clear" w:color="auto" w:fill="FFFFFF"/>
              <w:ind w:left="-53"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</w:p>
          <w:p w:rsidR="001A0B63" w:rsidRPr="001A0B63" w:rsidRDefault="00CB50B1" w:rsidP="00475FF2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CB50B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___________________________\Лебедев</w:t>
            </w:r>
            <w:r w:rsidR="00E2523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DD" w:rsidRDefault="00FE31DD">
      <w:r>
        <w:separator/>
      </w:r>
    </w:p>
  </w:endnote>
  <w:endnote w:type="continuationSeparator" w:id="0">
    <w:p w:rsidR="00FE31DD" w:rsidRDefault="00FE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1F3A8A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DD" w:rsidRDefault="00FE31DD">
      <w:r>
        <w:separator/>
      </w:r>
    </w:p>
  </w:footnote>
  <w:footnote w:type="continuationSeparator" w:id="0">
    <w:p w:rsidR="00FE31DD" w:rsidRDefault="00FE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C4798"/>
    <w:rsid w:val="003C5B57"/>
    <w:rsid w:val="004201F9"/>
    <w:rsid w:val="004432F1"/>
    <w:rsid w:val="00475FF2"/>
    <w:rsid w:val="00484F6E"/>
    <w:rsid w:val="00492BD6"/>
    <w:rsid w:val="00611C4F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C336BA"/>
    <w:rsid w:val="00C8205E"/>
    <w:rsid w:val="00CA57B7"/>
    <w:rsid w:val="00CB50B1"/>
    <w:rsid w:val="00CC7CA6"/>
    <w:rsid w:val="00CE64AC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600CF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4</cp:revision>
  <cp:lastPrinted>2019-10-03T13:17:00Z</cp:lastPrinted>
  <dcterms:created xsi:type="dcterms:W3CDTF">2025-03-27T12:50:00Z</dcterms:created>
  <dcterms:modified xsi:type="dcterms:W3CDTF">2025-07-30T17:33:00Z</dcterms:modified>
</cp:coreProperties>
</file>