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3572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2580"/>
        <w:gridCol w:w="991"/>
      </w:tblGrid>
      <w:tr>
        <w:trPr/>
        <w:tc>
          <w:tcPr>
            <w:tcW w:w="2580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Договор о задатке №</w:t>
            </w:r>
          </w:p>
        </w:tc>
        <w:tc>
          <w:tcPr>
            <w:tcW w:w="9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07"/>
        <w:gridCol w:w="3307"/>
        <w:gridCol w:w="3307"/>
      </w:tblGrid>
      <w:tr>
        <w:trPr/>
        <w:tc>
          <w:tcPr>
            <w:tcW w:w="3307" w:type="dxa"/>
            <w:tcBorders/>
          </w:tcPr>
          <w:p>
            <w:pPr>
              <w:pStyle w:val="Normal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г. Санкт-Петербург</w:t>
            </w:r>
          </w:p>
        </w:tc>
        <w:tc>
          <w:tcPr>
            <w:tcW w:w="3307" w:type="dxa"/>
            <w:tcBorders/>
          </w:tcPr>
          <w:p>
            <w:pPr>
              <w:pStyle w:val="Style16"/>
              <w:spacing w:before="0" w:after="200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3307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«_____» _________ 2025 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spacing w:lineRule="auto" w:line="240" w:before="0" w:after="0"/>
        <w:ind w:firstLine="709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Конкурсный управляющий ООО </w:t>
      </w:r>
      <w:bookmarkStart w:id="0" w:name="_Hlk169518057"/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«ПК «ПЕТЭК»</w:t>
      </w:r>
      <w:bookmarkEnd w:id="0"/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Музыченко Павел Владимирович, действующий на основании решения Арбитражного суда города Санкт-Петербурга и Ленинградской области от 17.06.2024, определений Арбитражного суда города Санкт-Петербурга и Ленинградской области от 23.12.2024, 20.06.2025 по делу № А56-102510/2023, именуемый в дальнейшем «Организатор торгов», с одной стороны и  __________________, в лице _________________________, действующ__ на основании _________, именуем__ в дальнейшем «Заявитель», с другой стороны, заключили настоящий договор о нижеследующем:</w:t>
      </w:r>
    </w:p>
    <w:p>
      <w:pPr>
        <w:pStyle w:val="Normal"/>
        <w:tabs>
          <w:tab w:val="clear" w:pos="708"/>
          <w:tab w:val="center" w:pos="2920" w:leader="none"/>
          <w:tab w:val="right" w:pos="9923" w:leader="none"/>
        </w:tabs>
        <w:spacing w:lineRule="auto" w:line="240" w:before="0" w:after="0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I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Предмет договора</w:t>
      </w:r>
    </w:p>
    <w:p>
      <w:pPr>
        <w:pStyle w:val="Normal"/>
        <w:tabs>
          <w:tab w:val="clear" w:pos="708"/>
          <w:tab w:val="center" w:pos="5472" w:leader="none"/>
          <w:tab w:val="right" w:pos="9923" w:leader="none"/>
        </w:tabs>
        <w:spacing w:lineRule="auto" w:line="240" w:before="0" w:after="0"/>
        <w:ind w:firstLine="709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1.1.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В соответствии с условиями настоящего договора Заявитель для участия в повторных торгах по продаже имущества должника: </w:t>
      </w:r>
      <w:r>
        <w:rPr>
          <w:rFonts w:cs="Times New Roman" w:ascii="Times New Roman" w:hAnsi="Times New Roman"/>
          <w:b w:val="false"/>
          <w:bCs/>
          <w:iCs/>
          <w:sz w:val="24"/>
          <w:szCs w:val="24"/>
        </w:rPr>
        <w:t>Лот №1: Контейнер 14 метров не окрашенный - 2 ед.; Контейнер 12 метров не окрашенный - 1 ед.; Контейнер 6 метров в синей краске, под ДГУ - 1 ед.; Лентопилочный станок MBS-910 CS - 1 ед.; Гибочный станок РКХА 100 х 4000 мм - 1 ед.; Гильотина 3221 - 1 ед.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перечисляет ООО «ПК «ПЕТЭК» денежные средства в размере 20% (двадцати процентов) от начальной цены выставляемого на повторные торги лота (далее – «задаток») по следующим реквизитам: 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Наименование получателя ООО «ПК «ПЕТЭК»»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ИНН 7810767400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КПП 781001001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ОГРН 1137847436264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Расчётный счёт 40702810812020616993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Наименование банка получателя Филиал "Корпоративный" ПАО "Совкомбанк"(г. Москва) БИК 044525360 </w:t>
      </w:r>
    </w:p>
    <w:p>
      <w:pPr>
        <w:pStyle w:val="Normal"/>
        <w:spacing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Корреспондентский счёт 30101810445250000360.</w:t>
      </w:r>
    </w:p>
    <w:p>
      <w:pPr>
        <w:pStyle w:val="Normal"/>
        <w:spacing w:lineRule="auto" w:line="240" w:before="0" w:after="0"/>
        <w:ind w:firstLine="709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1.2. Задаток вносится Заявителем в счет обеспечения исполнения обязательств по оплате реализуемого имущества:</w:t>
      </w:r>
    </w:p>
    <w:p>
      <w:pPr>
        <w:pStyle w:val="Normal"/>
        <w:spacing w:lineRule="auto" w:line="240" w:before="0" w:after="0"/>
        <w:ind w:firstLine="720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Cs/>
          <w:sz w:val="24"/>
          <w:szCs w:val="24"/>
        </w:rPr>
        <w:t>Лот №1: Контейнер 14 метров не окрашенный - 2 ед.; Контейнер 12 метров не окрашенный - 1 ед.; Контейнер 6 метров в синей краске, под ДГУ - 1 ед.; Лентопилочный станок MBS-910 CS - 1 ед.; Гибочный станок РКХА 100 х 4000 мм - 1 ед.; Гильотина 3221 - 1 ед. Начальная цена, определенная для повторных торгов –3 150 000 (три миллиона сто пятьдесят тысяч) руб. 00 коп.</w:t>
      </w:r>
    </w:p>
    <w:p>
      <w:pPr>
        <w:pStyle w:val="Normal"/>
        <w:spacing w:lineRule="auto" w:line="240" w:before="0" w:after="0"/>
        <w:ind w:firstLine="72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II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Порядок внесения задатка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2.1. Задаток должен быть внесен Заявителем на указанный в п.1.1 настоящего договора счет в срок не позднее даты окончания представления заявок на участие в торгах и считается внесенным с даты поступления всей суммы задатка на указанный счет.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lang w:eastAsia="zh-CN"/>
        </w:rPr>
        <w:t>Задаток должен быть внесен заявителем в срок, обеспечивающий его поступление на счет, указанный в информационном сообщении до даты окончания приема заявок на участие в торгах.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</w:rPr>
        <w:t>не допускается.</w:t>
      </w:r>
    </w:p>
    <w:p>
      <w:pPr>
        <w:pStyle w:val="21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из счета, указанного в п. 1.1 настоящего договора. 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2.2. Организатор торгов не вправе распоряжаться денежными средствами, поступившими на его счет в качестве задатка.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2.3. На денежные средства, перечисленные в соответствии с настоящим договором, проценты не начисляются.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III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Порядок возврата и удержания задатка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3.2. В случае, если Заявитель не будет допущен к участию в торгах, Организатор торгов обязуется возвратить сумму внесенного Заявителем задатка в течение 5 (пяти) дней с даты оформления Протокола окончания приема и регистрации заявок на участие в торгах.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3.3. 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дней со дня подписания Протокола о результатах торгов, имеющего силу договора или заключения Договора купли-продажи имущества.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3.4. 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дней со дня поступления организатору торгов от Заявителя уведомления об отзыве заявки.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3.5. В случае признания торгов несостоявшимися Организатор торгов обязуется возвратить сумму внесенного Заявителем задатка в течение 5 (пяти) дней со дня принятия Комиссией по проведению торгов решения об объявлении торгов несостоявшимися.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комиссией по проведению торгов решения об отмене торгов.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951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992"/>
        <w:gridCol w:w="8958"/>
      </w:tblGrid>
      <w:tr>
        <w:trPr/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-</w:t>
            </w:r>
          </w:p>
        </w:tc>
        <w:tc>
          <w:tcPr>
            <w:tcW w:w="8958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уклонится от заключения Договора купли-продажи имущества в срок, установленный  Протоколом о результатах торгов;</w:t>
            </w:r>
          </w:p>
        </w:tc>
      </w:tr>
      <w:tr>
        <w:trPr/>
        <w:tc>
          <w:tcPr>
            <w:tcW w:w="992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-</w:t>
            </w:r>
          </w:p>
        </w:tc>
        <w:tc>
          <w:tcPr>
            <w:tcW w:w="8958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купли-продажи имущества.</w:t>
            </w:r>
          </w:p>
        </w:tc>
      </w:tr>
    </w:tbl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или при заключении в установленном порядке Договора купли-продажи имущества.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spacing w:lineRule="auto" w:line="240" w:before="0" w:after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IV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Срок действия настоящего договора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>
      <w:pPr>
        <w:pStyle w:val="Normal"/>
        <w:tabs>
          <w:tab w:val="clear" w:pos="708"/>
          <w:tab w:val="center" w:pos="8363" w:leader="none"/>
        </w:tabs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Санкт-Петербурга и Ленинградской области.</w:t>
      </w:r>
    </w:p>
    <w:p>
      <w:pPr>
        <w:pStyle w:val="Normal"/>
        <w:spacing w:lineRule="auto" w:line="240" w:before="0" w:after="0"/>
        <w:ind w:firstLine="567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b w:val="false"/>
          <w:bCs w:val="false"/>
          <w:sz w:val="12"/>
          <w:szCs w:val="12"/>
        </w:rPr>
      </w:pPr>
      <w:r>
        <w:rPr>
          <w:rFonts w:cs="Times New Roman" w:ascii="Times New Roman" w:hAnsi="Times New Roman"/>
          <w:b w:val="false"/>
          <w:bCs w:val="false"/>
          <w:sz w:val="12"/>
          <w:szCs w:val="12"/>
        </w:rPr>
      </w:r>
    </w:p>
    <w:p>
      <w:pPr>
        <w:pStyle w:val="Normal"/>
        <w:spacing w:lineRule="auto" w:line="240" w:before="0" w:after="0"/>
        <w:ind w:firstLine="567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n-US"/>
        </w:rPr>
        <w:t>V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 Место нахождения и банковские реквизиты Сторон</w:t>
      </w:r>
    </w:p>
    <w:tbl>
      <w:tblPr>
        <w:tblW w:w="14912" w:type="dxa"/>
        <w:jc w:val="left"/>
        <w:tblInd w:w="2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950"/>
        <w:gridCol w:w="4961"/>
      </w:tblGrid>
      <w:tr>
        <w:trPr>
          <w:trHeight w:val="80" w:hRule="atLeast"/>
        </w:trPr>
        <w:tc>
          <w:tcPr>
            <w:tcW w:w="9950" w:type="dxa"/>
            <w:tcBorders/>
            <w:vAlign w:val="bottom"/>
          </w:tcPr>
          <w:tbl>
            <w:tblPr>
              <w:tblStyle w:val="a7"/>
              <w:tblW w:w="9880" w:type="dxa"/>
              <w:jc w:val="left"/>
              <w:tblInd w:w="56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4940"/>
              <w:gridCol w:w="4939"/>
            </w:tblGrid>
            <w:tr>
              <w:trPr>
                <w:trHeight w:val="440" w:hRule="atLeast"/>
              </w:trPr>
              <w:tc>
                <w:tcPr>
                  <w:tcW w:w="4940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4"/>
                      <w:lang w:val="ru-RU" w:eastAsia="ru-RU" w:bidi="ar-SA"/>
                    </w:rPr>
                    <w:t>Организатор торгов</w:t>
                  </w:r>
                </w:p>
              </w:tc>
              <w:tc>
                <w:tcPr>
                  <w:tcW w:w="4939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4"/>
                      <w:lang w:val="ru-RU" w:eastAsia="ru-RU" w:bidi="ar-SA"/>
                    </w:rPr>
                    <w:t>Заявитель</w:t>
                  </w:r>
                </w:p>
              </w:tc>
            </w:tr>
            <w:tr>
              <w:trPr/>
              <w:tc>
                <w:tcPr>
                  <w:tcW w:w="4940" w:type="dxa"/>
                  <w:tcBorders/>
                </w:tcPr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>Конкурсный управляющий ООО «ПК «ПЕТЭК» ОГРН: 1137847436264; ИНН: 7810767400; № ОПС 088009098270; адрес: 196006, г. Санкт-Петербург, вн.тер.г. Муниципальный округ Московская застава, пр-кт Московский, д. 89, литера А, офис 400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>Музыченко Павел Владимирович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>460001, г. Оренбург, а/я 2299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>тел. 8 951 035 05 55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  <w:t xml:space="preserve">эл.почта: </w:t>
                  </w: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en-US" w:eastAsia="ru-RU" w:bidi="ar-SA"/>
                    </w:rPr>
                    <w:t>orenstatus56@xmail.ru</w:t>
                  </w:r>
                </w:p>
                <w:p>
                  <w:pPr>
                    <w:pStyle w:val="BodyText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eastAsia="" w:cs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8"/>
                      <w:lang w:val="ru-RU" w:eastAsia="ru-RU" w:bidi="ar-SA"/>
                    </w:rPr>
                  </w:r>
                </w:p>
              </w:tc>
              <w:tc>
                <w:tcPr>
                  <w:tcW w:w="4939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 w:val="false"/>
                      <w:bCs w:val="false"/>
                      <w:i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  <w:i/>
                      <w:iCs/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940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kern w:val="0"/>
                      <w:sz w:val="24"/>
                      <w:szCs w:val="24"/>
                      <w:lang w:val="ru-RU" w:eastAsia="ru-RU" w:bidi="ar-SA"/>
                    </w:rPr>
                    <w:t>_____________________/Музыченко П.В.</w:t>
                  </w:r>
                </w:p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 w:val="false"/>
                      <w:bCs w:val="false"/>
                      <w:sz w:val="10"/>
                      <w:szCs w:val="10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  <w:sz w:val="10"/>
                      <w:szCs w:val="10"/>
                    </w:rPr>
                  </w:r>
                </w:p>
              </w:tc>
              <w:tc>
                <w:tcPr>
                  <w:tcW w:w="4939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 w:val="false"/>
                      <w:bCs w:val="false"/>
                      <w:i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b w:val="false"/>
                      <w:bCs w:val="false"/>
                      <w:i/>
                      <w:iCs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widowControl/>
                    <w:suppressAutoHyphens w:val="true"/>
                    <w:snapToGrid w:val="false"/>
                    <w:spacing w:lineRule="auto" w:line="240" w:before="0" w:after="0"/>
                    <w:jc w:val="left"/>
                    <w:rPr>
                      <w:b w:val="false"/>
                      <w:bCs w:val="false"/>
                    </w:rPr>
                  </w:pPr>
                  <w:r>
                    <w:rPr>
                      <w:rFonts w:eastAsia="" w:cs="Times New Roman" w:ascii="Times New Roman" w:hAnsi="Times New Roman"/>
                      <w:b w:val="false"/>
                      <w:bCs w:val="false"/>
                      <w:i/>
                      <w:iCs/>
                      <w:kern w:val="0"/>
                      <w:sz w:val="24"/>
                      <w:szCs w:val="24"/>
                      <w:lang w:val="ru-RU" w:eastAsia="ru-RU" w:bidi="ar-SA"/>
                    </w:rPr>
                    <w:t>______________________/______________</w:t>
                  </w:r>
                </w:p>
              </w:tc>
            </w:tr>
          </w:tbl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</w:r>
          </w:p>
        </w:tc>
        <w:tc>
          <w:tcPr>
            <w:tcW w:w="4961" w:type="dxa"/>
            <w:tcBorders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>
            <w:pPr>
              <w:pStyle w:val="Normal"/>
              <w:snapToGrid w:val="false"/>
              <w:spacing w:lineRule="auto" w:line="240" w:before="0" w:after="0"/>
              <w:ind w:firstLine="312"/>
              <w:jc w:val="both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sectPr>
      <w:type w:val="nextPage"/>
      <w:pgSz w:w="11906" w:h="16838"/>
      <w:pgMar w:left="1134" w:right="851" w:gutter="0" w:header="0" w:top="851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5397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BodyText"/>
    <w:link w:val="1"/>
    <w:qFormat/>
    <w:rsid w:val="00d94b7d"/>
    <w:pPr>
      <w:tabs>
        <w:tab w:val="clear" w:pos="708"/>
        <w:tab w:val="left" w:pos="0" w:leader="none"/>
      </w:tabs>
      <w:suppressAutoHyphens w:val="true"/>
      <w:spacing w:lineRule="auto" w:line="240" w:before="100" w:after="10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zh-C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1528c6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d94b7d"/>
    <w:rPr>
      <w:rFonts w:ascii="Times New Roman" w:hAnsi="Times New Roman" w:eastAsia="Times New Roman" w:cs="Times New Roman"/>
      <w:b/>
      <w:bCs/>
      <w:kern w:val="2"/>
      <w:sz w:val="48"/>
      <w:szCs w:val="48"/>
      <w:lang w:eastAsia="zh-CN"/>
    </w:rPr>
  </w:style>
  <w:style w:type="character" w:styleId="Style12" w:customStyle="1">
    <w:name w:val="Основной текст Знак"/>
    <w:basedOn w:val="DefaultParagraphFont"/>
    <w:uiPriority w:val="99"/>
    <w:qFormat/>
    <w:rsid w:val="00d94b7d"/>
    <w:rPr/>
  </w:style>
  <w:style w:type="character" w:styleId="4" w:customStyle="1">
    <w:name w:val="Заголовок 4 Знак"/>
    <w:basedOn w:val="DefaultParagraphFont"/>
    <w:uiPriority w:val="9"/>
    <w:semiHidden/>
    <w:qFormat/>
    <w:rsid w:val="001528c6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2"/>
    <w:uiPriority w:val="99"/>
    <w:unhideWhenUsed/>
    <w:rsid w:val="00d94b7d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21" w:customStyle="1">
    <w:name w:val="Основной текст 21"/>
    <w:basedOn w:val="Normal"/>
    <w:qFormat/>
    <w:rsid w:val="00d94b7d"/>
    <w:pPr>
      <w:suppressAutoHyphens w:val="true"/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Style15" w:customStyle="1">
    <w:name w:val="Первый заголовок"/>
    <w:basedOn w:val="BodyText"/>
    <w:next w:val="BodyText"/>
    <w:qFormat/>
    <w:rsid w:val="00d94b7d"/>
    <w:pPr>
      <w:widowControl w:val="false"/>
      <w:suppressAutoHyphens w:val="true"/>
      <w:spacing w:lineRule="auto" w:line="360" w:before="0" w:after="0"/>
      <w:ind w:firstLine="720"/>
      <w:jc w:val="both"/>
      <w:textAlignment w:val="baseline"/>
    </w:pPr>
    <w:rPr>
      <w:rFonts w:ascii="Times New Roman" w:hAnsi="Times New Roman" w:eastAsia="SimSun" w:cs="Times New Roman"/>
      <w:sz w:val="24"/>
      <w:szCs w:val="28"/>
      <w:lang w:eastAsia="zh-CN"/>
    </w:rPr>
  </w:style>
  <w:style w:type="paragraph" w:styleId="11" w:customStyle="1">
    <w:name w:val="Без интервала1"/>
    <w:basedOn w:val="Normal"/>
    <w:uiPriority w:val="1"/>
    <w:qFormat/>
    <w:rsid w:val="00d94b7d"/>
    <w:pPr>
      <w:spacing w:lineRule="auto" w:line="240" w:before="0" w:after="0"/>
      <w:ind w:firstLine="709"/>
      <w:jc w:val="both"/>
    </w:pPr>
    <w:rPr>
      <w:rFonts w:ascii="Arial" w:hAnsi="Arial" w:eastAsia="Calibri" w:cs="Times New Roman"/>
      <w:sz w:val="20"/>
      <w:szCs w:val="32"/>
      <w:lang w:eastAsia="en-US" w:bidi="en-US"/>
    </w:rPr>
  </w:style>
  <w:style w:type="paragraph" w:styleId="NormalWeb">
    <w:name w:val="Normal (Web)"/>
    <w:basedOn w:val="Normal"/>
    <w:uiPriority w:val="99"/>
    <w:unhideWhenUsed/>
    <w:qFormat/>
    <w:rsid w:val="005f0828"/>
    <w:pPr>
      <w:spacing w:lineRule="auto" w:line="288" w:beforeAutospacing="1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4625"/>
    <w:pPr>
      <w:spacing w:before="0" w:after="200"/>
      <w:ind w:left="720"/>
      <w:contextualSpacing/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2"/>
    <w:uiPriority w:val="59"/>
    <w:rsid w:val="00854446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LibreOffice/24.8.0.3$Windows_X86_64 LibreOffice_project/0bdf1299c94fe897b119f97f3c613e9dca6be583</Application>
  <AppVersion>15.0000</AppVersion>
  <Pages>3</Pages>
  <Words>893</Words>
  <Characters>5717</Characters>
  <CharactersWithSpaces>6567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2025-08-06T14:03:00Z</dcterms:created>
  <dc:creator>oda</dc:creator>
  <dc:description/>
  <dc:language>ru-RU</dc:language>
  <cp:lastModifiedBy/>
  <dcterms:modified xsi:type="dcterms:W3CDTF">2025-10-15T04:31:14Z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