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pPr w:leftFromText="180" w:rightFromText="180" w:vertAnchor="text" w:horzAnchor="margin" w:tblpXSpec="right" w:tblpY="176"/>
        <w:tblW w:w="6242" w:type="dxa"/>
        <w:tblLayout w:type="fixed"/>
        <w:tblLook w:val="04A0" w:firstRow="1" w:lastRow="0" w:firstColumn="1" w:lastColumn="0" w:noHBand="0" w:noVBand="1"/>
      </w:tblPr>
      <w:tblGrid>
        <w:gridCol w:w="6242"/>
      </w:tblGrid>
      <w:tr w:rsidR="00F63CE4" w:rsidRPr="009350FE" w:rsidTr="00F90E51">
        <w:tc>
          <w:tcPr>
            <w:tcW w:w="6242" w:type="dxa"/>
          </w:tcPr>
          <w:p w:rsidR="00F63CE4" w:rsidRPr="009350FE" w:rsidRDefault="00F63CE4" w:rsidP="00F90E51">
            <w:pPr>
              <w:keepNext/>
              <w:keepLines/>
              <w:widowControl w:val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935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Утверждено</w:t>
            </w:r>
          </w:p>
        </w:tc>
      </w:tr>
      <w:tr w:rsidR="00F63CE4" w:rsidRPr="00564A26" w:rsidTr="00F90E51">
        <w:tc>
          <w:tcPr>
            <w:tcW w:w="6242" w:type="dxa"/>
          </w:tcPr>
          <w:p w:rsidR="00F63CE4" w:rsidRPr="005E543C" w:rsidRDefault="00F63CE4" w:rsidP="00DB2AB4">
            <w:pPr>
              <w:keepNext/>
              <w:keepLines/>
              <w:widowControl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350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Конкурсным кредитор</w:t>
            </w:r>
            <w:r w:rsidR="00DB2AB4" w:rsidRPr="009350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о</w:t>
            </w:r>
            <w:r w:rsidRPr="009350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м, требования котор</w:t>
            </w:r>
            <w:r w:rsidR="00DB2AB4" w:rsidRPr="009350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ого</w:t>
            </w:r>
            <w:r w:rsidRPr="009350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обеспечены залогом</w:t>
            </w:r>
          </w:p>
        </w:tc>
      </w:tr>
      <w:tr w:rsidR="00F63CE4" w:rsidRPr="00564A26" w:rsidTr="00F90E51">
        <w:tc>
          <w:tcPr>
            <w:tcW w:w="6242" w:type="dxa"/>
          </w:tcPr>
          <w:p w:rsidR="00F63CE4" w:rsidRPr="009350FE" w:rsidRDefault="00F63CE4" w:rsidP="00F90E51">
            <w:pPr>
              <w:keepNext/>
              <w:keepLines/>
              <w:widowControl w:val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 w:bidi="ru-RU"/>
              </w:rPr>
            </w:pPr>
          </w:p>
          <w:p w:rsidR="00AA4F3A" w:rsidRDefault="00AA4F3A" w:rsidP="00AA4F3A">
            <w:pPr>
              <w:shd w:val="clear" w:color="auto" w:fill="FFFFFF"/>
              <w:ind w:left="108" w:right="1134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  <w:shd w:val="clear" w:color="auto" w:fill="FFFFFF"/>
              </w:rPr>
            </w:pPr>
            <w:r w:rsidRPr="00AA4F3A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  <w:shd w:val="clear" w:color="auto" w:fill="FFFFFF"/>
              </w:rPr>
              <w:t xml:space="preserve">Директора по принудительному </w:t>
            </w:r>
          </w:p>
          <w:p w:rsidR="00AA4F3A" w:rsidRDefault="00AA4F3A" w:rsidP="00AA4F3A">
            <w:pPr>
              <w:shd w:val="clear" w:color="auto" w:fill="FFFFFF"/>
              <w:ind w:left="108" w:right="1134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  <w:shd w:val="clear" w:color="auto" w:fill="FFFFFF"/>
              </w:rPr>
            </w:pPr>
            <w:r w:rsidRPr="00AA4F3A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  <w:shd w:val="clear" w:color="auto" w:fill="FFFFFF"/>
              </w:rPr>
              <w:t xml:space="preserve">взысканию задолженности </w:t>
            </w:r>
          </w:p>
          <w:p w:rsidR="00AA4F3A" w:rsidRDefault="00AA4F3A" w:rsidP="00AA4F3A">
            <w:pPr>
              <w:shd w:val="clear" w:color="auto" w:fill="FFFFFF"/>
              <w:ind w:left="108" w:right="1134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  <w:shd w:val="clear" w:color="auto" w:fill="FFFFFF"/>
              </w:rPr>
            </w:pPr>
            <w:r w:rsidRPr="00AA4F3A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  <w:shd w:val="clear" w:color="auto" w:fill="FFFFFF"/>
              </w:rPr>
              <w:t>и банкротству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  <w:shd w:val="clear" w:color="auto" w:fill="FFFFFF"/>
              </w:rPr>
              <w:t xml:space="preserve"> Управления по работе </w:t>
            </w:r>
          </w:p>
          <w:p w:rsidR="00AA4F3A" w:rsidRDefault="00AA4F3A" w:rsidP="00AA4F3A">
            <w:pPr>
              <w:shd w:val="clear" w:color="auto" w:fill="FFFFFF"/>
              <w:ind w:left="108" w:right="1134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  <w:shd w:val="clear" w:color="auto" w:fill="FFFFFF"/>
              </w:rPr>
              <w:t xml:space="preserve">с проблемными активами </w:t>
            </w:r>
          </w:p>
          <w:p w:rsidR="00AA4F3A" w:rsidRPr="00AA4F3A" w:rsidRDefault="00AA4F3A" w:rsidP="00AA4F3A">
            <w:pPr>
              <w:shd w:val="clear" w:color="auto" w:fill="FFFFFF"/>
              <w:ind w:left="108" w:right="474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  <w:shd w:val="clear" w:color="auto" w:fill="FFFFFF"/>
              </w:rPr>
              <w:t xml:space="preserve">и финансовому оздоровлению                                 </w:t>
            </w:r>
            <w:r w:rsidRPr="00AA4F3A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Малькевич Е. О.</w:t>
            </w:r>
          </w:p>
          <w:p w:rsidR="00DB2AB4" w:rsidRPr="009350FE" w:rsidRDefault="00DB2AB4" w:rsidP="00AA4F3A">
            <w:pPr>
              <w:keepNext/>
              <w:keepLines/>
              <w:widowControl w:val="0"/>
              <w:tabs>
                <w:tab w:val="left" w:pos="4055"/>
              </w:tabs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 w:bidi="ru-RU"/>
              </w:rPr>
            </w:pPr>
          </w:p>
        </w:tc>
      </w:tr>
    </w:tbl>
    <w:p w:rsidR="00F63CE4" w:rsidRDefault="00F63CE4" w:rsidP="00F63CE4">
      <w:pPr>
        <w:tabs>
          <w:tab w:val="left" w:pos="426"/>
        </w:tabs>
        <w:spacing w:after="0" w:line="240" w:lineRule="auto"/>
        <w:ind w:left="-567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5C8" w:rsidRDefault="00C805C8" w:rsidP="00F63CE4">
      <w:pPr>
        <w:tabs>
          <w:tab w:val="left" w:pos="426"/>
        </w:tabs>
        <w:spacing w:after="0" w:line="240" w:lineRule="auto"/>
        <w:ind w:left="-567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CE4" w:rsidRDefault="00F63CE4" w:rsidP="00F63CE4">
      <w:pPr>
        <w:keepNext/>
        <w:keepLines/>
        <w:widowControl w:val="0"/>
        <w:spacing w:after="0" w:line="240" w:lineRule="auto"/>
        <w:ind w:left="2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63CE4" w:rsidRDefault="00F63CE4" w:rsidP="00F63CE4">
      <w:pPr>
        <w:keepNext/>
        <w:keepLines/>
        <w:widowControl w:val="0"/>
        <w:spacing w:after="0" w:line="240" w:lineRule="auto"/>
        <w:ind w:left="2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63CE4" w:rsidRDefault="00F63CE4" w:rsidP="00F63CE4">
      <w:pPr>
        <w:keepNext/>
        <w:keepLines/>
        <w:widowControl w:val="0"/>
        <w:spacing w:after="0" w:line="240" w:lineRule="auto"/>
        <w:ind w:left="2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63CE4" w:rsidRDefault="00F63CE4" w:rsidP="00F63CE4">
      <w:pPr>
        <w:keepNext/>
        <w:keepLines/>
        <w:widowControl w:val="0"/>
        <w:spacing w:after="0" w:line="240" w:lineRule="auto"/>
        <w:ind w:left="2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63CE4" w:rsidRDefault="00F63CE4" w:rsidP="00F63CE4">
      <w:pPr>
        <w:keepNext/>
        <w:keepLines/>
        <w:widowControl w:val="0"/>
        <w:spacing w:after="0" w:line="240" w:lineRule="auto"/>
        <w:ind w:left="2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63CE4" w:rsidRDefault="00F63CE4" w:rsidP="00F63CE4">
      <w:pPr>
        <w:keepNext/>
        <w:keepLines/>
        <w:widowControl w:val="0"/>
        <w:spacing w:after="0" w:line="240" w:lineRule="auto"/>
        <w:ind w:left="2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63CE4" w:rsidRDefault="00F63CE4" w:rsidP="00F63CE4">
      <w:pPr>
        <w:keepNext/>
        <w:keepLines/>
        <w:widowControl w:val="0"/>
        <w:spacing w:after="0" w:line="240" w:lineRule="auto"/>
        <w:ind w:left="2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B2AB4" w:rsidRDefault="00DB2AB4" w:rsidP="00F63CE4">
      <w:pPr>
        <w:keepNext/>
        <w:keepLines/>
        <w:widowControl w:val="0"/>
        <w:spacing w:after="0" w:line="240" w:lineRule="auto"/>
        <w:ind w:left="2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B2AB4" w:rsidRDefault="00DB2AB4" w:rsidP="00F63CE4">
      <w:pPr>
        <w:keepNext/>
        <w:keepLines/>
        <w:widowControl w:val="0"/>
        <w:spacing w:after="0" w:line="240" w:lineRule="auto"/>
        <w:ind w:left="2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B2AB4" w:rsidRDefault="00DB2AB4" w:rsidP="00F63CE4">
      <w:pPr>
        <w:keepNext/>
        <w:keepLines/>
        <w:widowControl w:val="0"/>
        <w:spacing w:after="0" w:line="240" w:lineRule="auto"/>
        <w:ind w:left="2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B2AB4" w:rsidRDefault="00DB2AB4" w:rsidP="009A297E">
      <w:pPr>
        <w:keepNext/>
        <w:keepLines/>
        <w:widowControl w:val="0"/>
        <w:spacing w:after="0" w:line="240" w:lineRule="auto"/>
        <w:ind w:left="23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63CE4" w:rsidRPr="005E543C" w:rsidRDefault="00F63CE4" w:rsidP="00F63CE4">
      <w:pPr>
        <w:keepNext/>
        <w:keepLines/>
        <w:widowControl w:val="0"/>
        <w:spacing w:after="0" w:line="240" w:lineRule="auto"/>
        <w:ind w:left="2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5E5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Положение</w:t>
      </w:r>
    </w:p>
    <w:p w:rsidR="00F63CE4" w:rsidRPr="005E543C" w:rsidRDefault="00F63CE4" w:rsidP="00F63CE4">
      <w:pPr>
        <w:keepNext/>
        <w:keepLines/>
        <w:widowControl w:val="0"/>
        <w:spacing w:after="0" w:line="240" w:lineRule="auto"/>
        <w:ind w:left="2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5E5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 порядке, сроках и условиях продажи имущества</w:t>
      </w:r>
      <w:r w:rsidRPr="005E5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 xml:space="preserve"> </w:t>
      </w:r>
      <w:r w:rsidR="000E6B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Ивановой Елены Валерьевны</w:t>
      </w:r>
      <w:r w:rsidRPr="005E5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находящегося в залоге у</w:t>
      </w:r>
      <w:r w:rsidRPr="005E5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ПАО Сбербанк</w:t>
      </w:r>
    </w:p>
    <w:p w:rsidR="00F63CE4" w:rsidRPr="005E543C" w:rsidRDefault="00F63CE4" w:rsidP="00F63CE4">
      <w:pPr>
        <w:pStyle w:val="a9"/>
        <w:numPr>
          <w:ilvl w:val="0"/>
          <w:numId w:val="9"/>
        </w:numPr>
        <w:spacing w:before="120" w:after="120" w:line="276" w:lineRule="auto"/>
        <w:ind w:left="0"/>
        <w:rPr>
          <w:b/>
        </w:rPr>
      </w:pPr>
      <w:r w:rsidRPr="005E543C">
        <w:rPr>
          <w:b/>
        </w:rPr>
        <w:t>Общие положения</w:t>
      </w:r>
    </w:p>
    <w:p w:rsidR="00F63CE4" w:rsidRPr="00564A26" w:rsidRDefault="00F63CE4" w:rsidP="00F63CE4">
      <w:pPr>
        <w:pStyle w:val="a9"/>
        <w:numPr>
          <w:ilvl w:val="1"/>
          <w:numId w:val="9"/>
        </w:numPr>
        <w:spacing w:before="120" w:after="120" w:line="276" w:lineRule="auto"/>
        <w:ind w:left="0" w:right="-1" w:hanging="431"/>
        <w:jc w:val="both"/>
      </w:pPr>
      <w:r w:rsidRPr="00564A26">
        <w:t>Настоящее Положение определяет по</w:t>
      </w:r>
      <w:r>
        <w:t>рядок, сроки и условия продажи и</w:t>
      </w:r>
      <w:r w:rsidRPr="00564A26">
        <w:t>мущества</w:t>
      </w:r>
      <w:r>
        <w:t xml:space="preserve"> </w:t>
      </w:r>
      <w:r w:rsidR="00AA4F3A">
        <w:rPr>
          <w:b/>
        </w:rPr>
        <w:t>Ивановой Елены Валерьевны</w:t>
      </w:r>
      <w:r w:rsidRPr="00564A26">
        <w:rPr>
          <w:bCs/>
          <w:i/>
        </w:rPr>
        <w:t xml:space="preserve"> </w:t>
      </w:r>
      <w:r w:rsidRPr="00564A26">
        <w:rPr>
          <w:bCs/>
          <w:iCs/>
        </w:rPr>
        <w:t>(далее – Должник)</w:t>
      </w:r>
      <w:r>
        <w:rPr>
          <w:bCs/>
          <w:iCs/>
        </w:rPr>
        <w:t>,</w:t>
      </w:r>
      <w:r w:rsidRPr="00564A26">
        <w:rPr>
          <w:bCs/>
          <w:iCs/>
        </w:rPr>
        <w:t xml:space="preserve"> находящегося в залоге у ПАО Сбербанк</w:t>
      </w:r>
      <w:r>
        <w:rPr>
          <w:bCs/>
          <w:iCs/>
        </w:rPr>
        <w:t xml:space="preserve"> (далее – Имущество) (далее – Залогодержатель или Конкурсный кредитор</w:t>
      </w:r>
      <w:r w:rsidR="00DB2AB4">
        <w:rPr>
          <w:bCs/>
          <w:iCs/>
        </w:rPr>
        <w:t>)</w:t>
      </w:r>
      <w:r w:rsidRPr="00564A26">
        <w:t>.</w:t>
      </w:r>
    </w:p>
    <w:tbl>
      <w:tblPr>
        <w:tblStyle w:val="2"/>
        <w:tblW w:w="9779" w:type="dxa"/>
        <w:tblInd w:w="-431" w:type="dxa"/>
        <w:tblLook w:val="04A0" w:firstRow="1" w:lastRow="0" w:firstColumn="1" w:lastColumn="0" w:noHBand="0" w:noVBand="1"/>
      </w:tblPr>
      <w:tblGrid>
        <w:gridCol w:w="4537"/>
        <w:gridCol w:w="5242"/>
      </w:tblGrid>
      <w:tr w:rsidR="00F63CE4" w:rsidRPr="005C22C9" w:rsidTr="00F90E51">
        <w:trPr>
          <w:trHeight w:val="270"/>
        </w:trPr>
        <w:tc>
          <w:tcPr>
            <w:tcW w:w="9779" w:type="dxa"/>
            <w:gridSpan w:val="2"/>
            <w:shd w:val="clear" w:color="auto" w:fill="A6A6A6" w:themeFill="background1" w:themeFillShade="A6"/>
            <w:vAlign w:val="center"/>
          </w:tcPr>
          <w:p w:rsidR="00F63CE4" w:rsidRPr="00B6066B" w:rsidRDefault="00F63CE4" w:rsidP="00F90E51">
            <w:pPr>
              <w:pStyle w:val="a9"/>
              <w:numPr>
                <w:ilvl w:val="1"/>
                <w:numId w:val="9"/>
              </w:numPr>
              <w:tabs>
                <w:tab w:val="left" w:pos="597"/>
              </w:tabs>
              <w:ind w:hanging="716"/>
              <w:rPr>
                <w:b/>
              </w:rPr>
            </w:pPr>
            <w:r w:rsidRPr="00B6066B">
              <w:rPr>
                <w:b/>
              </w:rPr>
              <w:t>Общие условия</w:t>
            </w:r>
            <w:r>
              <w:rPr>
                <w:b/>
              </w:rPr>
              <w:t xml:space="preserve"> проведения торгов</w:t>
            </w:r>
          </w:p>
        </w:tc>
      </w:tr>
      <w:tr w:rsidR="00F63CE4" w:rsidRPr="00E27639" w:rsidTr="00797425">
        <w:tc>
          <w:tcPr>
            <w:tcW w:w="4537" w:type="dxa"/>
            <w:shd w:val="clear" w:color="auto" w:fill="D9D9D9" w:themeFill="background1" w:themeFillShade="D9"/>
            <w:vAlign w:val="center"/>
          </w:tcPr>
          <w:p w:rsidR="00F63CE4" w:rsidRDefault="00F63CE4" w:rsidP="009A297E">
            <w:pPr>
              <w:pStyle w:val="a9"/>
              <w:numPr>
                <w:ilvl w:val="2"/>
                <w:numId w:val="9"/>
              </w:numPr>
              <w:ind w:left="883" w:hanging="708"/>
            </w:pPr>
            <w:r>
              <w:t>Состав лота</w:t>
            </w:r>
          </w:p>
        </w:tc>
        <w:tc>
          <w:tcPr>
            <w:tcW w:w="5242" w:type="dxa"/>
            <w:vAlign w:val="center"/>
          </w:tcPr>
          <w:p w:rsidR="00F63CE4" w:rsidRPr="00797425" w:rsidRDefault="009A297E" w:rsidP="009A29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9742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Лот № 1</w:t>
            </w:r>
            <w:r w:rsidR="00A2465F" w:rsidRPr="0079742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</w:t>
            </w:r>
          </w:p>
          <w:p w:rsidR="00AA4F3A" w:rsidRDefault="00AA4F3A" w:rsidP="00AA4F3A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Квартира, расположенная по адресу: Тюменская область, город Тюмень, ул. Александра Федоровича, д. 10, кв. 254 (72:23:0215001:3239)</w:t>
            </w:r>
          </w:p>
          <w:p w:rsidR="009A297E" w:rsidRPr="00797425" w:rsidRDefault="009A297E" w:rsidP="00E87DA6">
            <w:pPr>
              <w:rPr>
                <w:rFonts w:ascii="Times New Roman" w:hAnsi="Times New Roman" w:cs="Times New Roman"/>
              </w:rPr>
            </w:pPr>
          </w:p>
        </w:tc>
      </w:tr>
      <w:tr w:rsidR="00F63CE4" w:rsidRPr="00E27639" w:rsidTr="00797425">
        <w:tc>
          <w:tcPr>
            <w:tcW w:w="4537" w:type="dxa"/>
            <w:shd w:val="clear" w:color="auto" w:fill="D9D9D9" w:themeFill="background1" w:themeFillShade="D9"/>
            <w:vAlign w:val="center"/>
          </w:tcPr>
          <w:p w:rsidR="00F63CE4" w:rsidRPr="00DF3311" w:rsidRDefault="00F63CE4" w:rsidP="00F90E51">
            <w:pPr>
              <w:pStyle w:val="a9"/>
              <w:numPr>
                <w:ilvl w:val="2"/>
                <w:numId w:val="9"/>
              </w:numPr>
              <w:ind w:left="883" w:hanging="708"/>
            </w:pPr>
            <w:r>
              <w:t>Актуальная начальная цена реализации Имущества, ₽</w:t>
            </w:r>
          </w:p>
        </w:tc>
        <w:tc>
          <w:tcPr>
            <w:tcW w:w="5242" w:type="dxa"/>
            <w:vAlign w:val="center"/>
          </w:tcPr>
          <w:p w:rsidR="00F63CE4" w:rsidRPr="00797425" w:rsidRDefault="00AA4F3A" w:rsidP="009A297E">
            <w:pPr>
              <w:rPr>
                <w:rFonts w:ascii="Times New Roman" w:hAnsi="Times New Roman" w:cs="Times New Roman"/>
              </w:rPr>
            </w:pPr>
            <w:r>
              <w:t>3 186 000</w:t>
            </w:r>
            <w:r w:rsidRPr="001C7F61">
              <w:t xml:space="preserve"> </w:t>
            </w:r>
            <w:r w:rsidR="00CA5B00" w:rsidRPr="00797425">
              <w:rPr>
                <w:rFonts w:ascii="Times New Roman" w:hAnsi="Times New Roman" w:cs="Times New Roman"/>
              </w:rPr>
              <w:t>руб. 00 коп.</w:t>
            </w:r>
          </w:p>
        </w:tc>
      </w:tr>
      <w:tr w:rsidR="00F63CE4" w:rsidRPr="00E27639" w:rsidTr="00797425">
        <w:tc>
          <w:tcPr>
            <w:tcW w:w="4537" w:type="dxa"/>
            <w:shd w:val="clear" w:color="auto" w:fill="D9D9D9" w:themeFill="background1" w:themeFillShade="D9"/>
            <w:vAlign w:val="center"/>
          </w:tcPr>
          <w:p w:rsidR="00F63CE4" w:rsidRPr="00DF3311" w:rsidRDefault="00F63CE4" w:rsidP="00F90E51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DF3311">
              <w:t xml:space="preserve"> Форма проведения торгов</w:t>
            </w:r>
          </w:p>
        </w:tc>
        <w:tc>
          <w:tcPr>
            <w:tcW w:w="5242" w:type="dxa"/>
            <w:vAlign w:val="center"/>
          </w:tcPr>
          <w:p w:rsidR="00F63CE4" w:rsidRPr="00797425" w:rsidRDefault="00CA5B00" w:rsidP="00CA5B00">
            <w:pPr>
              <w:rPr>
                <w:rFonts w:ascii="Times New Roman" w:hAnsi="Times New Roman" w:cs="Times New Roman"/>
              </w:rPr>
            </w:pPr>
            <w:r w:rsidRPr="00797425">
              <w:rPr>
                <w:rFonts w:ascii="Times New Roman" w:hAnsi="Times New Roman" w:cs="Times New Roman"/>
                <w:lang w:eastAsia="ru-RU"/>
              </w:rPr>
              <w:t>Торги проводятся в электронной форме по правилам, установленным п. 4, 5, 8-19 ст.110, п. 3 ст. 111, ст. 138, п. 4 ст. 213.26 Закона о банкротстве, Приказом Минэкономразвития РФ №</w:t>
            </w:r>
            <w:r w:rsidR="0079742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97425">
              <w:rPr>
                <w:rFonts w:ascii="Times New Roman" w:hAnsi="Times New Roman" w:cs="Times New Roman"/>
                <w:lang w:eastAsia="ru-RU"/>
              </w:rPr>
              <w:t>495 от 23.07.2015, и являются открытыми по составу участников.</w:t>
            </w:r>
          </w:p>
        </w:tc>
      </w:tr>
      <w:tr w:rsidR="00F63CE4" w:rsidRPr="00E27639" w:rsidTr="00797425">
        <w:tc>
          <w:tcPr>
            <w:tcW w:w="4537" w:type="dxa"/>
            <w:shd w:val="clear" w:color="auto" w:fill="D9D9D9" w:themeFill="background1" w:themeFillShade="D9"/>
            <w:vAlign w:val="center"/>
          </w:tcPr>
          <w:p w:rsidR="00F63CE4" w:rsidRPr="00DF3311" w:rsidRDefault="00F63CE4" w:rsidP="00F90E51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DF3311">
              <w:t xml:space="preserve"> Форма представления предложений о цене</w:t>
            </w:r>
          </w:p>
        </w:tc>
        <w:tc>
          <w:tcPr>
            <w:tcW w:w="5242" w:type="dxa"/>
            <w:vAlign w:val="center"/>
          </w:tcPr>
          <w:p w:rsidR="00F63CE4" w:rsidRPr="00797425" w:rsidRDefault="00CA5B00" w:rsidP="00CA5B00">
            <w:pPr>
              <w:rPr>
                <w:rFonts w:ascii="Times New Roman" w:hAnsi="Times New Roman" w:cs="Times New Roman"/>
              </w:rPr>
            </w:pPr>
            <w:r w:rsidRPr="00797425">
              <w:rPr>
                <w:rFonts w:ascii="Times New Roman" w:hAnsi="Times New Roman" w:cs="Times New Roman"/>
              </w:rPr>
              <w:t>Заявки о цене подаются в открытой форме.</w:t>
            </w:r>
          </w:p>
        </w:tc>
      </w:tr>
      <w:tr w:rsidR="00F63CE4" w:rsidRPr="00E27639" w:rsidTr="00797425">
        <w:trPr>
          <w:trHeight w:val="286"/>
        </w:trPr>
        <w:tc>
          <w:tcPr>
            <w:tcW w:w="4537" w:type="dxa"/>
            <w:shd w:val="clear" w:color="auto" w:fill="D9D9D9" w:themeFill="background1" w:themeFillShade="D9"/>
            <w:vAlign w:val="center"/>
          </w:tcPr>
          <w:p w:rsidR="00F63CE4" w:rsidRPr="00DF3311" w:rsidRDefault="00F63CE4" w:rsidP="00F90E51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DF3311">
              <w:t>Последовательность торгов</w:t>
            </w:r>
          </w:p>
        </w:tc>
        <w:tc>
          <w:tcPr>
            <w:tcW w:w="5242" w:type="dxa"/>
            <w:vAlign w:val="center"/>
          </w:tcPr>
          <w:p w:rsidR="00CA5B00" w:rsidRPr="00797425" w:rsidRDefault="00CA5B00" w:rsidP="00CA5B00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97425">
              <w:rPr>
                <w:rFonts w:ascii="Times New Roman" w:hAnsi="Times New Roman" w:cs="Times New Roman"/>
                <w:lang w:eastAsia="ru-RU"/>
              </w:rPr>
              <w:t>1. Первые и повторные торги проводятся путем открытых торгов в форме аукциона с подачей заявок в открытой форме.</w:t>
            </w:r>
          </w:p>
          <w:p w:rsidR="00F63CE4" w:rsidRPr="00797425" w:rsidRDefault="00CA5B00" w:rsidP="00CA5B00">
            <w:pPr>
              <w:rPr>
                <w:rFonts w:ascii="Times New Roman" w:hAnsi="Times New Roman" w:cs="Times New Roman"/>
              </w:rPr>
            </w:pPr>
            <w:r w:rsidRPr="00797425">
              <w:rPr>
                <w:rFonts w:ascii="Times New Roman" w:hAnsi="Times New Roman" w:cs="Times New Roman"/>
                <w:lang w:eastAsia="ru-RU"/>
              </w:rPr>
              <w:t>2. В случае если имущество должника не было реализовано на повторных торгах и отказа конкурного кредитора от оставления имущества за собой, дальнейшая реализация осуществляется в форме публичного предложения.</w:t>
            </w:r>
          </w:p>
        </w:tc>
      </w:tr>
      <w:tr w:rsidR="00F63CE4" w:rsidRPr="00E27639" w:rsidTr="00797425">
        <w:tc>
          <w:tcPr>
            <w:tcW w:w="4537" w:type="dxa"/>
            <w:shd w:val="clear" w:color="auto" w:fill="D9D9D9" w:themeFill="background1" w:themeFillShade="D9"/>
            <w:vAlign w:val="center"/>
          </w:tcPr>
          <w:p w:rsidR="00F63CE4" w:rsidRPr="00DF3311" w:rsidRDefault="00F63CE4" w:rsidP="00F90E51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DF3311">
              <w:t>Организатор торгов</w:t>
            </w:r>
          </w:p>
        </w:tc>
        <w:tc>
          <w:tcPr>
            <w:tcW w:w="5242" w:type="dxa"/>
            <w:vAlign w:val="center"/>
          </w:tcPr>
          <w:p w:rsidR="00F63CE4" w:rsidRPr="00797425" w:rsidRDefault="00CA5B00" w:rsidP="00CA5B00">
            <w:pPr>
              <w:rPr>
                <w:rFonts w:ascii="Times New Roman" w:hAnsi="Times New Roman" w:cs="Times New Roman"/>
              </w:rPr>
            </w:pPr>
            <w:r w:rsidRPr="00797425">
              <w:rPr>
                <w:rFonts w:ascii="Times New Roman" w:hAnsi="Times New Roman" w:cs="Times New Roman"/>
                <w:lang w:eastAsia="ru-RU"/>
              </w:rPr>
              <w:t>Финансовый управляющий должника</w:t>
            </w:r>
          </w:p>
        </w:tc>
      </w:tr>
      <w:tr w:rsidR="00F63CE4" w:rsidRPr="00E27639" w:rsidTr="00797425">
        <w:trPr>
          <w:trHeight w:val="270"/>
        </w:trPr>
        <w:tc>
          <w:tcPr>
            <w:tcW w:w="4537" w:type="dxa"/>
            <w:shd w:val="clear" w:color="auto" w:fill="D9D9D9" w:themeFill="background1" w:themeFillShade="D9"/>
            <w:vAlign w:val="center"/>
          </w:tcPr>
          <w:p w:rsidR="00F63CE4" w:rsidRPr="00605DE7" w:rsidRDefault="00F63CE4" w:rsidP="00F90E51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605DE7">
              <w:t>Вознаграждение организатора торгов</w:t>
            </w:r>
          </w:p>
        </w:tc>
        <w:tc>
          <w:tcPr>
            <w:tcW w:w="5242" w:type="dxa"/>
            <w:vAlign w:val="center"/>
          </w:tcPr>
          <w:p w:rsidR="00F63CE4" w:rsidRPr="00797425" w:rsidRDefault="00CA5B00" w:rsidP="00CA5B00">
            <w:pPr>
              <w:rPr>
                <w:rFonts w:ascii="Times New Roman" w:hAnsi="Times New Roman" w:cs="Times New Roman"/>
              </w:rPr>
            </w:pPr>
            <w:r w:rsidRPr="00797425">
              <w:rPr>
                <w:rFonts w:ascii="Times New Roman" w:hAnsi="Times New Roman" w:cs="Times New Roman"/>
              </w:rPr>
              <w:t>Не устанавливается</w:t>
            </w:r>
          </w:p>
        </w:tc>
      </w:tr>
      <w:tr w:rsidR="00F63CE4" w:rsidRPr="00E27639" w:rsidTr="00797425">
        <w:trPr>
          <w:trHeight w:val="270"/>
        </w:trPr>
        <w:tc>
          <w:tcPr>
            <w:tcW w:w="4537" w:type="dxa"/>
            <w:shd w:val="clear" w:color="auto" w:fill="D9D9D9" w:themeFill="background1" w:themeFillShade="D9"/>
            <w:vAlign w:val="center"/>
          </w:tcPr>
          <w:p w:rsidR="00F63CE4" w:rsidRPr="00605DE7" w:rsidRDefault="00F63CE4" w:rsidP="00F90E51">
            <w:pPr>
              <w:pStyle w:val="a9"/>
              <w:numPr>
                <w:ilvl w:val="2"/>
                <w:numId w:val="9"/>
              </w:numPr>
              <w:ind w:left="883" w:hanging="708"/>
            </w:pPr>
            <w:r>
              <w:t>Электронная торговая площадка</w:t>
            </w:r>
          </w:p>
        </w:tc>
        <w:tc>
          <w:tcPr>
            <w:tcW w:w="5242" w:type="dxa"/>
            <w:vAlign w:val="center"/>
          </w:tcPr>
          <w:p w:rsidR="00F63CE4" w:rsidRPr="00797425" w:rsidRDefault="00AA4F3A" w:rsidP="00CA5B00">
            <w:pPr>
              <w:rPr>
                <w:rFonts w:ascii="Times New Roman" w:hAnsi="Times New Roman" w:cs="Times New Roman"/>
                <w:highlight w:val="yellow"/>
              </w:rPr>
            </w:pPr>
            <w:r w:rsidRPr="003D4F39">
              <w:t>Продажа Имущества Должника проводится на электронной торговой площадке АО «</w:t>
            </w:r>
            <w:r>
              <w:t>Новые информационные сервисы</w:t>
            </w:r>
            <w:r w:rsidRPr="003D4F39">
              <w:t xml:space="preserve">» (ИНН: </w:t>
            </w:r>
            <w:r>
              <w:t>7725752265</w:t>
            </w:r>
            <w:r w:rsidRPr="003D4F39">
              <w:t>), по адресу в сети «Интернет»: www.</w:t>
            </w:r>
            <w:r>
              <w:rPr>
                <w:lang w:val="en-US"/>
              </w:rPr>
              <w:t>nistp</w:t>
            </w:r>
            <w:r w:rsidRPr="003D4F39">
              <w:t>.ru</w:t>
            </w:r>
          </w:p>
        </w:tc>
      </w:tr>
      <w:tr w:rsidR="00F63CE4" w:rsidRPr="00E27639" w:rsidTr="00797425">
        <w:tc>
          <w:tcPr>
            <w:tcW w:w="4537" w:type="dxa"/>
            <w:shd w:val="clear" w:color="auto" w:fill="D9D9D9" w:themeFill="background1" w:themeFillShade="D9"/>
            <w:vAlign w:val="center"/>
          </w:tcPr>
          <w:p w:rsidR="00F63CE4" w:rsidRPr="00605DE7" w:rsidRDefault="00F63CE4" w:rsidP="00F90E51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605DE7">
              <w:t xml:space="preserve">Порядок и условия обеспечения сохранности </w:t>
            </w:r>
            <w:r>
              <w:t>Имущества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F63CE4" w:rsidRPr="00797425" w:rsidRDefault="00046526" w:rsidP="00046526">
            <w:pPr>
              <w:rPr>
                <w:rFonts w:ascii="Times New Roman" w:hAnsi="Times New Roman" w:cs="Times New Roman"/>
              </w:rPr>
            </w:pPr>
            <w:r w:rsidRPr="00797425">
              <w:rPr>
                <w:rFonts w:ascii="Times New Roman" w:hAnsi="Times New Roman" w:cs="Times New Roman"/>
                <w:lang w:eastAsia="ru-RU"/>
              </w:rPr>
              <w:t>Сохранность имущества обеспечивается должником, а при его отказе - финансовым управляющим</w:t>
            </w:r>
          </w:p>
        </w:tc>
      </w:tr>
      <w:tr w:rsidR="00F63CE4" w:rsidRPr="00E27639" w:rsidTr="00797425">
        <w:tc>
          <w:tcPr>
            <w:tcW w:w="4537" w:type="dxa"/>
            <w:shd w:val="clear" w:color="auto" w:fill="D9D9D9" w:themeFill="background1" w:themeFillShade="D9"/>
            <w:vAlign w:val="center"/>
          </w:tcPr>
          <w:p w:rsidR="00F63CE4" w:rsidRPr="00605DE7" w:rsidRDefault="00F63CE4" w:rsidP="00F90E51">
            <w:pPr>
              <w:pStyle w:val="a9"/>
              <w:numPr>
                <w:ilvl w:val="2"/>
                <w:numId w:val="9"/>
              </w:numPr>
              <w:ind w:left="883" w:hanging="708"/>
            </w:pPr>
            <w:r>
              <w:t xml:space="preserve">Сведения о размещении информации о торгах на </w:t>
            </w:r>
            <w:r>
              <w:rPr>
                <w:lang w:val="en-US"/>
              </w:rPr>
              <w:t>Portal</w:t>
            </w:r>
            <w:r w:rsidRPr="00B6066B">
              <w:t>-</w:t>
            </w:r>
            <w:r>
              <w:rPr>
                <w:lang w:val="en-US"/>
              </w:rPr>
              <w:t>DA</w:t>
            </w:r>
            <w:r w:rsidRPr="00B6066B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5242" w:type="dxa"/>
            <w:shd w:val="clear" w:color="auto" w:fill="FFFFFF" w:themeFill="background1"/>
            <w:vAlign w:val="center"/>
          </w:tcPr>
          <w:p w:rsidR="00F63CE4" w:rsidRPr="00797425" w:rsidRDefault="00797425" w:rsidP="009350FE">
            <w:pPr>
              <w:rPr>
                <w:rFonts w:ascii="Times New Roman" w:hAnsi="Times New Roman" w:cs="Times New Roman"/>
              </w:rPr>
            </w:pPr>
            <w:r w:rsidRPr="00797425">
              <w:rPr>
                <w:rFonts w:ascii="Times New Roman" w:hAnsi="Times New Roman" w:cs="Times New Roman"/>
              </w:rPr>
              <w:t xml:space="preserve">Экспонирование объекта осуществляется на Интернет-ресурсе </w:t>
            </w:r>
            <w:r w:rsidRPr="00797425">
              <w:rPr>
                <w:rFonts w:ascii="Times New Roman" w:hAnsi="Times New Roman" w:cs="Times New Roman"/>
                <w:lang w:val="en-US"/>
              </w:rPr>
              <w:t>Portal</w:t>
            </w:r>
            <w:r w:rsidRPr="00797425">
              <w:rPr>
                <w:rFonts w:ascii="Times New Roman" w:hAnsi="Times New Roman" w:cs="Times New Roman"/>
              </w:rPr>
              <w:t>-</w:t>
            </w:r>
            <w:r w:rsidRPr="00797425">
              <w:rPr>
                <w:rFonts w:ascii="Times New Roman" w:hAnsi="Times New Roman" w:cs="Times New Roman"/>
                <w:lang w:val="en-US"/>
              </w:rPr>
              <w:t>DA</w:t>
            </w:r>
            <w:r w:rsidRPr="00797425">
              <w:rPr>
                <w:rFonts w:ascii="Times New Roman" w:hAnsi="Times New Roman" w:cs="Times New Roman"/>
              </w:rPr>
              <w:t>.</w:t>
            </w:r>
            <w:r w:rsidRPr="00797425">
              <w:rPr>
                <w:rFonts w:ascii="Times New Roman" w:hAnsi="Times New Roman" w:cs="Times New Roman"/>
                <w:lang w:val="en-US"/>
              </w:rPr>
              <w:t>ru</w:t>
            </w:r>
            <w:r w:rsidRPr="00797425">
              <w:rPr>
                <w:rFonts w:ascii="Times New Roman" w:hAnsi="Times New Roman" w:cs="Times New Roman"/>
              </w:rPr>
              <w:t xml:space="preserve"> по ссылке: </w:t>
            </w:r>
            <w:hyperlink r:id="rId8" w:history="1">
              <w:r w:rsidRPr="00797425">
                <w:rPr>
                  <w:rStyle w:val="af7"/>
                  <w:rFonts w:ascii="Times New Roman" w:hAnsi="Times New Roman" w:cs="Times New Roman"/>
                </w:rPr>
                <w:t>https://portal-da.ru</w:t>
              </w:r>
            </w:hyperlink>
          </w:p>
        </w:tc>
      </w:tr>
      <w:tr w:rsidR="00F63CE4" w:rsidRPr="005C22C9" w:rsidTr="00F90E51">
        <w:tc>
          <w:tcPr>
            <w:tcW w:w="9779" w:type="dxa"/>
            <w:gridSpan w:val="2"/>
            <w:shd w:val="clear" w:color="auto" w:fill="A6A6A6" w:themeFill="background1" w:themeFillShade="A6"/>
            <w:vAlign w:val="center"/>
          </w:tcPr>
          <w:p w:rsidR="00F63CE4" w:rsidRPr="00797425" w:rsidRDefault="00F63CE4" w:rsidP="00F90E51">
            <w:pPr>
              <w:pStyle w:val="a9"/>
              <w:numPr>
                <w:ilvl w:val="1"/>
                <w:numId w:val="9"/>
              </w:numPr>
              <w:ind w:hanging="617"/>
              <w:rPr>
                <w:b/>
              </w:rPr>
            </w:pPr>
            <w:r w:rsidRPr="00797425">
              <w:rPr>
                <w:b/>
              </w:rPr>
              <w:t>Условия первых торгов</w:t>
            </w:r>
          </w:p>
        </w:tc>
      </w:tr>
      <w:tr w:rsidR="00F63CE4" w:rsidRPr="00797425" w:rsidTr="00797425">
        <w:tc>
          <w:tcPr>
            <w:tcW w:w="4537" w:type="dxa"/>
            <w:shd w:val="clear" w:color="auto" w:fill="D9D9D9" w:themeFill="background1" w:themeFillShade="D9"/>
            <w:vAlign w:val="center"/>
          </w:tcPr>
          <w:p w:rsidR="00F63CE4" w:rsidRPr="00797425" w:rsidRDefault="00F63CE4" w:rsidP="00F90E51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797425">
              <w:t>Начальная цена реализации Имущества, рублей</w:t>
            </w:r>
          </w:p>
        </w:tc>
        <w:tc>
          <w:tcPr>
            <w:tcW w:w="5242" w:type="dxa"/>
            <w:vAlign w:val="center"/>
          </w:tcPr>
          <w:p w:rsidR="00F63CE4" w:rsidRPr="00797425" w:rsidRDefault="00AA4F3A" w:rsidP="00CB1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3 186 000</w:t>
            </w:r>
            <w:r w:rsidR="00691342" w:rsidRPr="00797425">
              <w:rPr>
                <w:rFonts w:ascii="Times New Roman" w:hAnsi="Times New Roman" w:cs="Times New Roman"/>
              </w:rPr>
              <w:t xml:space="preserve"> руб. 00 коп.</w:t>
            </w:r>
          </w:p>
        </w:tc>
      </w:tr>
      <w:tr w:rsidR="00F63CE4" w:rsidRPr="00E27639" w:rsidTr="00797425">
        <w:tc>
          <w:tcPr>
            <w:tcW w:w="4537" w:type="dxa"/>
            <w:shd w:val="clear" w:color="auto" w:fill="D9D9D9" w:themeFill="background1" w:themeFillShade="D9"/>
            <w:vAlign w:val="center"/>
          </w:tcPr>
          <w:p w:rsidR="00F63CE4" w:rsidRPr="00DF3311" w:rsidRDefault="00F63CE4" w:rsidP="00F90E51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DF3311">
              <w:t>Задаток</w:t>
            </w:r>
          </w:p>
        </w:tc>
        <w:tc>
          <w:tcPr>
            <w:tcW w:w="5242" w:type="dxa"/>
            <w:vAlign w:val="center"/>
          </w:tcPr>
          <w:p w:rsidR="00F63CE4" w:rsidRPr="00797425" w:rsidRDefault="00AA4F3A" w:rsidP="00CB1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1346" w:rsidRPr="00797425">
              <w:rPr>
                <w:rFonts w:ascii="Times New Roman" w:hAnsi="Times New Roman" w:cs="Times New Roman"/>
              </w:rPr>
              <w:t>0% от начальной цены продажи имущества на первых торгах</w:t>
            </w:r>
          </w:p>
        </w:tc>
      </w:tr>
      <w:tr w:rsidR="00F63CE4" w:rsidRPr="00E27639" w:rsidTr="00797425">
        <w:tc>
          <w:tcPr>
            <w:tcW w:w="4537" w:type="dxa"/>
            <w:shd w:val="clear" w:color="auto" w:fill="D9D9D9" w:themeFill="background1" w:themeFillShade="D9"/>
            <w:vAlign w:val="center"/>
          </w:tcPr>
          <w:p w:rsidR="00F63CE4" w:rsidRPr="00605DE7" w:rsidRDefault="00F63CE4" w:rsidP="00F90E51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605DE7">
              <w:t>Шаг аукциона</w:t>
            </w:r>
          </w:p>
        </w:tc>
        <w:tc>
          <w:tcPr>
            <w:tcW w:w="5242" w:type="dxa"/>
            <w:vAlign w:val="center"/>
          </w:tcPr>
          <w:p w:rsidR="00F63CE4" w:rsidRPr="00797425" w:rsidRDefault="00CB1346" w:rsidP="00CB1346">
            <w:pPr>
              <w:rPr>
                <w:rFonts w:ascii="Times New Roman" w:hAnsi="Times New Roman" w:cs="Times New Roman"/>
              </w:rPr>
            </w:pPr>
            <w:r w:rsidRPr="007974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5% от начальной цены продажи имущества на первых торгах</w:t>
            </w:r>
          </w:p>
        </w:tc>
      </w:tr>
      <w:tr w:rsidR="00F63CE4" w:rsidRPr="005C22C9" w:rsidTr="00F90E51">
        <w:tc>
          <w:tcPr>
            <w:tcW w:w="9779" w:type="dxa"/>
            <w:gridSpan w:val="2"/>
            <w:shd w:val="clear" w:color="auto" w:fill="A6A6A6" w:themeFill="background1" w:themeFillShade="A6"/>
            <w:vAlign w:val="center"/>
          </w:tcPr>
          <w:p w:rsidR="00F63CE4" w:rsidRPr="00797425" w:rsidRDefault="00F63CE4" w:rsidP="00F90E51">
            <w:pPr>
              <w:pStyle w:val="a9"/>
              <w:numPr>
                <w:ilvl w:val="1"/>
                <w:numId w:val="9"/>
              </w:numPr>
              <w:ind w:hanging="617"/>
              <w:rPr>
                <w:b/>
              </w:rPr>
            </w:pPr>
            <w:r w:rsidRPr="00797425">
              <w:rPr>
                <w:b/>
              </w:rPr>
              <w:t>Условия повторных торгов</w:t>
            </w:r>
          </w:p>
        </w:tc>
      </w:tr>
      <w:tr w:rsidR="00CB1346" w:rsidRPr="00E27639" w:rsidTr="00797425">
        <w:tc>
          <w:tcPr>
            <w:tcW w:w="4537" w:type="dxa"/>
            <w:shd w:val="clear" w:color="auto" w:fill="D9D9D9" w:themeFill="background1" w:themeFillShade="D9"/>
            <w:vAlign w:val="center"/>
          </w:tcPr>
          <w:p w:rsidR="00CB1346" w:rsidRPr="00605DE7" w:rsidRDefault="00CB1346" w:rsidP="00CB1346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605DE7">
              <w:t xml:space="preserve">Начальная цена реализации </w:t>
            </w:r>
            <w:r>
              <w:t>И</w:t>
            </w:r>
            <w:r w:rsidRPr="00605DE7">
              <w:t xml:space="preserve">мущества, </w:t>
            </w:r>
            <w:r w:rsidR="00797425">
              <w:t>₽</w:t>
            </w:r>
          </w:p>
        </w:tc>
        <w:tc>
          <w:tcPr>
            <w:tcW w:w="5242" w:type="dxa"/>
            <w:vAlign w:val="center"/>
          </w:tcPr>
          <w:p w:rsidR="00CB1346" w:rsidRPr="00797425" w:rsidRDefault="00AA4F3A" w:rsidP="00CB1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2 867 400</w:t>
            </w:r>
            <w:r w:rsidR="00CB1346" w:rsidRPr="00797425">
              <w:rPr>
                <w:rFonts w:ascii="Times New Roman" w:hAnsi="Times New Roman" w:cs="Times New Roman"/>
              </w:rPr>
              <w:t xml:space="preserve"> руб. 00 коп.</w:t>
            </w:r>
          </w:p>
        </w:tc>
      </w:tr>
      <w:tr w:rsidR="00CB1346" w:rsidRPr="00E27639" w:rsidTr="00797425">
        <w:tc>
          <w:tcPr>
            <w:tcW w:w="4537" w:type="dxa"/>
            <w:shd w:val="clear" w:color="auto" w:fill="D9D9D9" w:themeFill="background1" w:themeFillShade="D9"/>
            <w:vAlign w:val="center"/>
          </w:tcPr>
          <w:p w:rsidR="00CB1346" w:rsidRPr="00605DE7" w:rsidRDefault="00CB1346" w:rsidP="00CB1346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605DE7">
              <w:t xml:space="preserve">Задаток </w:t>
            </w:r>
          </w:p>
        </w:tc>
        <w:tc>
          <w:tcPr>
            <w:tcW w:w="5242" w:type="dxa"/>
            <w:vAlign w:val="center"/>
          </w:tcPr>
          <w:p w:rsidR="00CB1346" w:rsidRPr="00797425" w:rsidRDefault="00781D82" w:rsidP="00CB1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1346" w:rsidRPr="00797425">
              <w:rPr>
                <w:rFonts w:ascii="Times New Roman" w:hAnsi="Times New Roman" w:cs="Times New Roman"/>
              </w:rPr>
              <w:t>0% от начальной цены продажи имущества на повторных торгах</w:t>
            </w:r>
          </w:p>
        </w:tc>
      </w:tr>
      <w:tr w:rsidR="00CB1346" w:rsidRPr="00E27639" w:rsidTr="00797425">
        <w:tc>
          <w:tcPr>
            <w:tcW w:w="4537" w:type="dxa"/>
            <w:shd w:val="clear" w:color="auto" w:fill="D9D9D9" w:themeFill="background1" w:themeFillShade="D9"/>
            <w:vAlign w:val="center"/>
          </w:tcPr>
          <w:p w:rsidR="00CB1346" w:rsidRPr="00605DE7" w:rsidRDefault="00CB1346" w:rsidP="00CB1346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605DE7">
              <w:t xml:space="preserve">Шаг аукциона </w:t>
            </w:r>
          </w:p>
        </w:tc>
        <w:tc>
          <w:tcPr>
            <w:tcW w:w="5242" w:type="dxa"/>
            <w:vAlign w:val="center"/>
          </w:tcPr>
          <w:p w:rsidR="00CB1346" w:rsidRPr="00797425" w:rsidRDefault="00CB1346" w:rsidP="00CB1346">
            <w:pPr>
              <w:rPr>
                <w:rFonts w:ascii="Times New Roman" w:hAnsi="Times New Roman" w:cs="Times New Roman"/>
              </w:rPr>
            </w:pPr>
            <w:r w:rsidRPr="007974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5% от начальной цены продажи имущества на повторных торгах</w:t>
            </w:r>
          </w:p>
        </w:tc>
      </w:tr>
      <w:tr w:rsidR="00CB1346" w:rsidRPr="005C22C9" w:rsidTr="00F90E51">
        <w:tc>
          <w:tcPr>
            <w:tcW w:w="9779" w:type="dxa"/>
            <w:gridSpan w:val="2"/>
            <w:shd w:val="clear" w:color="auto" w:fill="A6A6A6" w:themeFill="background1" w:themeFillShade="A6"/>
            <w:vAlign w:val="center"/>
          </w:tcPr>
          <w:p w:rsidR="00CB1346" w:rsidRPr="00797425" w:rsidRDefault="00CB1346" w:rsidP="00A953B9">
            <w:pPr>
              <w:pStyle w:val="a9"/>
              <w:numPr>
                <w:ilvl w:val="1"/>
                <w:numId w:val="9"/>
              </w:numPr>
              <w:ind w:hanging="617"/>
              <w:rPr>
                <w:b/>
              </w:rPr>
            </w:pPr>
            <w:r w:rsidRPr="00797425">
              <w:rPr>
                <w:b/>
              </w:rPr>
              <w:t>Условия торгов пос</w:t>
            </w:r>
            <w:r w:rsidR="00A953B9" w:rsidRPr="00797425">
              <w:rPr>
                <w:b/>
              </w:rPr>
              <w:t>редством публичного предложения</w:t>
            </w:r>
          </w:p>
        </w:tc>
      </w:tr>
      <w:tr w:rsidR="00CB1346" w:rsidRPr="00E27639" w:rsidTr="00797425">
        <w:tc>
          <w:tcPr>
            <w:tcW w:w="4537" w:type="dxa"/>
            <w:shd w:val="clear" w:color="auto" w:fill="D9D9D9" w:themeFill="background1" w:themeFillShade="D9"/>
            <w:vAlign w:val="center"/>
          </w:tcPr>
          <w:p w:rsidR="00CB1346" w:rsidRPr="00605DE7" w:rsidRDefault="00CB1346" w:rsidP="00CB1346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605DE7">
              <w:t xml:space="preserve">Начальная цена реализации </w:t>
            </w:r>
            <w:r>
              <w:t>И</w:t>
            </w:r>
            <w:r w:rsidRPr="00605DE7">
              <w:t>мущества, рублей</w:t>
            </w:r>
          </w:p>
        </w:tc>
        <w:tc>
          <w:tcPr>
            <w:tcW w:w="5242" w:type="dxa"/>
            <w:vAlign w:val="center"/>
          </w:tcPr>
          <w:p w:rsidR="00CB1346" w:rsidRPr="00797425" w:rsidRDefault="00781D82" w:rsidP="00691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2 867 400</w:t>
            </w:r>
            <w:r w:rsidR="00CB1346" w:rsidRPr="00797425">
              <w:rPr>
                <w:rFonts w:ascii="Times New Roman" w:hAnsi="Times New Roman" w:cs="Times New Roman"/>
              </w:rPr>
              <w:t xml:space="preserve"> руб. 00 коп.</w:t>
            </w:r>
          </w:p>
        </w:tc>
      </w:tr>
      <w:tr w:rsidR="00CB1346" w:rsidRPr="00E27639" w:rsidTr="00797425">
        <w:tc>
          <w:tcPr>
            <w:tcW w:w="4537" w:type="dxa"/>
            <w:shd w:val="clear" w:color="auto" w:fill="D9D9D9" w:themeFill="background1" w:themeFillShade="D9"/>
            <w:vAlign w:val="center"/>
          </w:tcPr>
          <w:p w:rsidR="00CB1346" w:rsidRPr="00605DE7" w:rsidRDefault="00CB1346" w:rsidP="00CB1346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605DE7">
              <w:t xml:space="preserve">Период снижения цены </w:t>
            </w:r>
          </w:p>
        </w:tc>
        <w:tc>
          <w:tcPr>
            <w:tcW w:w="5242" w:type="dxa"/>
            <w:vAlign w:val="center"/>
          </w:tcPr>
          <w:p w:rsidR="00CB1346" w:rsidRPr="00797425" w:rsidRDefault="00A953B9" w:rsidP="00CB1346">
            <w:pPr>
              <w:rPr>
                <w:rFonts w:ascii="Times New Roman" w:hAnsi="Times New Roman" w:cs="Times New Roman"/>
              </w:rPr>
            </w:pPr>
            <w:r w:rsidRPr="00797425">
              <w:rPr>
                <w:rFonts w:ascii="Times New Roman" w:hAnsi="Times New Roman" w:cs="Times New Roman"/>
              </w:rPr>
              <w:t>5 календарных дней</w:t>
            </w:r>
          </w:p>
        </w:tc>
      </w:tr>
      <w:tr w:rsidR="00CB1346" w:rsidRPr="00D1447A" w:rsidTr="00797425">
        <w:tc>
          <w:tcPr>
            <w:tcW w:w="4537" w:type="dxa"/>
            <w:shd w:val="clear" w:color="auto" w:fill="D9D9D9" w:themeFill="background1" w:themeFillShade="D9"/>
            <w:vAlign w:val="center"/>
          </w:tcPr>
          <w:p w:rsidR="00CB1346" w:rsidRPr="00605DE7" w:rsidRDefault="00CB1346" w:rsidP="00CB1346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605DE7">
              <w:t>Шаг снижения цены</w:t>
            </w:r>
          </w:p>
        </w:tc>
        <w:tc>
          <w:tcPr>
            <w:tcW w:w="5242" w:type="dxa"/>
            <w:vAlign w:val="center"/>
          </w:tcPr>
          <w:p w:rsidR="00CB1346" w:rsidRPr="00797425" w:rsidRDefault="00A953B9" w:rsidP="00A953B9">
            <w:pPr>
              <w:rPr>
                <w:rFonts w:ascii="Times New Roman" w:hAnsi="Times New Roman" w:cs="Times New Roman"/>
              </w:rPr>
            </w:pPr>
            <w:r w:rsidRPr="00797425">
              <w:rPr>
                <w:rFonts w:ascii="Times New Roman" w:hAnsi="Times New Roman" w:cs="Times New Roman"/>
              </w:rPr>
              <w:t>5% от начальной цены продажи имущества на торгах посредством публичного предложения</w:t>
            </w:r>
          </w:p>
        </w:tc>
      </w:tr>
      <w:tr w:rsidR="00CB1346" w:rsidRPr="00E27639" w:rsidTr="00797425">
        <w:tc>
          <w:tcPr>
            <w:tcW w:w="4537" w:type="dxa"/>
            <w:shd w:val="clear" w:color="auto" w:fill="D9D9D9" w:themeFill="background1" w:themeFillShade="D9"/>
            <w:vAlign w:val="center"/>
          </w:tcPr>
          <w:p w:rsidR="00CB1346" w:rsidRPr="00605DE7" w:rsidRDefault="00CB1346" w:rsidP="00CB1346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605DE7">
              <w:t xml:space="preserve">Задаток </w:t>
            </w:r>
          </w:p>
        </w:tc>
        <w:tc>
          <w:tcPr>
            <w:tcW w:w="5242" w:type="dxa"/>
            <w:vAlign w:val="center"/>
          </w:tcPr>
          <w:p w:rsidR="00CB1346" w:rsidRPr="00797425" w:rsidRDefault="00781D82" w:rsidP="00A95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953B9" w:rsidRPr="00797425">
              <w:rPr>
                <w:rFonts w:ascii="Times New Roman" w:hAnsi="Times New Roman" w:cs="Times New Roman"/>
              </w:rPr>
              <w:t>0% от цены продажи имущества в конкретном периоде торгов в форме публичного предложения</w:t>
            </w:r>
          </w:p>
        </w:tc>
      </w:tr>
      <w:tr w:rsidR="00CB1346" w:rsidRPr="00E27639" w:rsidTr="00797425">
        <w:tc>
          <w:tcPr>
            <w:tcW w:w="4537" w:type="dxa"/>
            <w:shd w:val="clear" w:color="auto" w:fill="D9D9D9" w:themeFill="background1" w:themeFillShade="D9"/>
            <w:vAlign w:val="center"/>
          </w:tcPr>
          <w:p w:rsidR="00CB1346" w:rsidRPr="00605DE7" w:rsidRDefault="00CB1346" w:rsidP="00781D82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605DE7">
              <w:t>Цена отсечения</w:t>
            </w:r>
          </w:p>
        </w:tc>
        <w:tc>
          <w:tcPr>
            <w:tcW w:w="5242" w:type="dxa"/>
            <w:vAlign w:val="center"/>
          </w:tcPr>
          <w:p w:rsidR="00CB1346" w:rsidRPr="00797425" w:rsidRDefault="00781D82" w:rsidP="00A953B9">
            <w:pPr>
              <w:rPr>
                <w:rFonts w:ascii="Times New Roman" w:hAnsi="Times New Roman" w:cs="Times New Roman"/>
              </w:rPr>
            </w:pPr>
            <w:r>
              <w:t>Минимальная цена ре</w:t>
            </w:r>
            <w:r w:rsidR="00D22DFD">
              <w:t>ализации имущества составляет 60</w:t>
            </w:r>
            <w:r>
              <w:t xml:space="preserve"> % от начальной продажной цены, установленной на повторных торгах. В случае если торги по продаже имущества должника в форме публичного предложения признаны несостоявшимися, Залогодержатель вправе внести изменения в Положение о продаже.</w:t>
            </w:r>
          </w:p>
        </w:tc>
      </w:tr>
    </w:tbl>
    <w:p w:rsidR="00F63CE4" w:rsidRPr="005E543C" w:rsidRDefault="00F63CE4" w:rsidP="00F63CE4">
      <w:pPr>
        <w:pStyle w:val="a9"/>
        <w:numPr>
          <w:ilvl w:val="1"/>
          <w:numId w:val="9"/>
        </w:numPr>
        <w:spacing w:before="120" w:after="120" w:line="276" w:lineRule="auto"/>
        <w:ind w:left="142"/>
        <w:rPr>
          <w:b/>
        </w:rPr>
      </w:pPr>
      <w:r w:rsidRPr="005E543C">
        <w:rPr>
          <w:b/>
        </w:rPr>
        <w:t>Основные сведения о должнике:</w:t>
      </w:r>
    </w:p>
    <w:tbl>
      <w:tblPr>
        <w:tblStyle w:val="ab"/>
        <w:tblW w:w="0" w:type="auto"/>
        <w:tblInd w:w="-431" w:type="dxa"/>
        <w:tblLook w:val="04A0" w:firstRow="1" w:lastRow="0" w:firstColumn="1" w:lastColumn="0" w:noHBand="0" w:noVBand="1"/>
      </w:tblPr>
      <w:tblGrid>
        <w:gridCol w:w="3120"/>
        <w:gridCol w:w="2159"/>
        <w:gridCol w:w="2045"/>
        <w:gridCol w:w="2452"/>
      </w:tblGrid>
      <w:tr w:rsidR="00F63CE4" w:rsidTr="00F90E51">
        <w:tc>
          <w:tcPr>
            <w:tcW w:w="3120" w:type="dxa"/>
            <w:shd w:val="clear" w:color="auto" w:fill="D9D9D9" w:themeFill="background1" w:themeFillShade="D9"/>
          </w:tcPr>
          <w:p w:rsidR="00F63CE4" w:rsidRDefault="00A953B9" w:rsidP="00A953B9">
            <w:pPr>
              <w:pStyle w:val="a9"/>
              <w:ind w:left="0"/>
            </w:pPr>
            <w:r>
              <w:t xml:space="preserve">ФИО </w:t>
            </w:r>
            <w:r w:rsidR="00F63CE4">
              <w:t>должника</w:t>
            </w:r>
          </w:p>
        </w:tc>
        <w:tc>
          <w:tcPr>
            <w:tcW w:w="2159" w:type="dxa"/>
          </w:tcPr>
          <w:p w:rsidR="00F63CE4" w:rsidRDefault="00781D82" w:rsidP="00F90E51">
            <w:pPr>
              <w:pStyle w:val="a9"/>
              <w:ind w:left="0"/>
            </w:pPr>
            <w:r>
              <w:t>Иванова Елена Валерьевна</w:t>
            </w:r>
          </w:p>
        </w:tc>
        <w:tc>
          <w:tcPr>
            <w:tcW w:w="2045" w:type="dxa"/>
            <w:shd w:val="clear" w:color="auto" w:fill="D9D9D9" w:themeFill="background1" w:themeFillShade="D9"/>
          </w:tcPr>
          <w:p w:rsidR="00F63CE4" w:rsidRDefault="00F63CE4" w:rsidP="00F90E51">
            <w:pPr>
              <w:pStyle w:val="a9"/>
              <w:ind w:left="0"/>
            </w:pPr>
            <w:r>
              <w:t>ИНН должника</w:t>
            </w:r>
          </w:p>
        </w:tc>
        <w:tc>
          <w:tcPr>
            <w:tcW w:w="2452" w:type="dxa"/>
          </w:tcPr>
          <w:p w:rsidR="00F63CE4" w:rsidRPr="00691342" w:rsidRDefault="00691342" w:rsidP="00781D82">
            <w:pPr>
              <w:pStyle w:val="a9"/>
              <w:ind w:left="0"/>
            </w:pPr>
            <w:r>
              <w:t>72</w:t>
            </w:r>
            <w:r w:rsidR="00781D82">
              <w:t>0410089607</w:t>
            </w:r>
          </w:p>
        </w:tc>
      </w:tr>
      <w:tr w:rsidR="00F63CE4" w:rsidTr="00F90E51">
        <w:tc>
          <w:tcPr>
            <w:tcW w:w="3120" w:type="dxa"/>
            <w:shd w:val="clear" w:color="auto" w:fill="D9D9D9" w:themeFill="background1" w:themeFillShade="D9"/>
          </w:tcPr>
          <w:p w:rsidR="00F63CE4" w:rsidRDefault="00F63CE4" w:rsidP="00F90E51">
            <w:pPr>
              <w:pStyle w:val="a9"/>
              <w:ind w:left="0"/>
            </w:pPr>
            <w:r>
              <w:t>СНИЛС</w:t>
            </w:r>
            <w:r w:rsidRPr="00DF3311">
              <w:t xml:space="preserve"> должника</w:t>
            </w:r>
          </w:p>
        </w:tc>
        <w:tc>
          <w:tcPr>
            <w:tcW w:w="2159" w:type="dxa"/>
          </w:tcPr>
          <w:p w:rsidR="00F63CE4" w:rsidRDefault="00781D82" w:rsidP="00F90E51">
            <w:pPr>
              <w:pStyle w:val="a9"/>
              <w:ind w:left="0"/>
            </w:pPr>
            <w:r>
              <w:rPr>
                <w:rFonts w:ascii="FedraSerifPro BookItalic" w:hAnsi="FedraSerifPro BookItalic" w:cs="Calibri Light"/>
                <w:color w:val="000000"/>
              </w:rPr>
              <w:t>074-560-624 69</w:t>
            </w:r>
          </w:p>
        </w:tc>
        <w:tc>
          <w:tcPr>
            <w:tcW w:w="2045" w:type="dxa"/>
            <w:shd w:val="clear" w:color="auto" w:fill="D9D9D9" w:themeFill="background1" w:themeFillShade="D9"/>
          </w:tcPr>
          <w:p w:rsidR="00F63CE4" w:rsidRDefault="00F63CE4" w:rsidP="00F90E51">
            <w:pPr>
              <w:pStyle w:val="a9"/>
              <w:ind w:left="0"/>
            </w:pPr>
            <w:r w:rsidRPr="00DF3311">
              <w:t>Адрес должника</w:t>
            </w:r>
          </w:p>
        </w:tc>
        <w:tc>
          <w:tcPr>
            <w:tcW w:w="2452" w:type="dxa"/>
          </w:tcPr>
          <w:p w:rsidR="00F63CE4" w:rsidRDefault="00691342" w:rsidP="00781D82">
            <w:pPr>
              <w:pStyle w:val="a9"/>
              <w:ind w:left="0"/>
            </w:pPr>
            <w:r>
              <w:t>6250</w:t>
            </w:r>
            <w:r w:rsidR="00781D82">
              <w:t>41</w:t>
            </w:r>
            <w:r>
              <w:t xml:space="preserve">, Тюменская область, г. Тюмень, ул. </w:t>
            </w:r>
            <w:r w:rsidR="00781D82">
              <w:t>Урожайная, д. 39</w:t>
            </w:r>
          </w:p>
        </w:tc>
      </w:tr>
      <w:tr w:rsidR="00F63CE4" w:rsidTr="00F90E51">
        <w:tc>
          <w:tcPr>
            <w:tcW w:w="3120" w:type="dxa"/>
            <w:shd w:val="clear" w:color="auto" w:fill="D9D9D9" w:themeFill="background1" w:themeFillShade="D9"/>
          </w:tcPr>
          <w:p w:rsidR="00F63CE4" w:rsidRPr="00DF3311" w:rsidRDefault="00F63CE4" w:rsidP="00F90E51">
            <w:pPr>
              <w:pStyle w:val="a9"/>
              <w:ind w:left="0"/>
            </w:pPr>
            <w:r>
              <w:t>Номер дела о банкротстве</w:t>
            </w:r>
          </w:p>
        </w:tc>
        <w:tc>
          <w:tcPr>
            <w:tcW w:w="6656" w:type="dxa"/>
            <w:gridSpan w:val="3"/>
          </w:tcPr>
          <w:p w:rsidR="00F63CE4" w:rsidRDefault="00691342" w:rsidP="00781D82">
            <w:pPr>
              <w:pStyle w:val="a9"/>
              <w:ind w:left="0"/>
            </w:pPr>
            <w:r>
              <w:t>А70-</w:t>
            </w:r>
            <w:r w:rsidR="00781D82">
              <w:t>16739/2024</w:t>
            </w:r>
          </w:p>
        </w:tc>
      </w:tr>
      <w:tr w:rsidR="00F63CE4" w:rsidTr="00F90E51">
        <w:tc>
          <w:tcPr>
            <w:tcW w:w="3120" w:type="dxa"/>
            <w:shd w:val="clear" w:color="auto" w:fill="D9D9D9" w:themeFill="background1" w:themeFillShade="D9"/>
          </w:tcPr>
          <w:p w:rsidR="00F63CE4" w:rsidRPr="00DF3311" w:rsidRDefault="00F63CE4" w:rsidP="007837A6">
            <w:pPr>
              <w:pStyle w:val="a9"/>
              <w:ind w:left="0"/>
            </w:pPr>
            <w:r w:rsidRPr="00DF3311">
              <w:t xml:space="preserve">Дата решения суда о признании банкротом и </w:t>
            </w:r>
            <w:r w:rsidRPr="00407B97">
              <w:t>введении процедуры реализации имущества гражданина</w:t>
            </w:r>
          </w:p>
        </w:tc>
        <w:tc>
          <w:tcPr>
            <w:tcW w:w="2159" w:type="dxa"/>
          </w:tcPr>
          <w:p w:rsidR="00F63CE4" w:rsidRPr="00E41303" w:rsidRDefault="00781D82" w:rsidP="007837A6">
            <w:pPr>
              <w:pStyle w:val="a9"/>
              <w:ind w:left="0"/>
            </w:pPr>
            <w:r>
              <w:t>30.09</w:t>
            </w:r>
            <w:r w:rsidR="00E41303">
              <w:t>.2024</w:t>
            </w:r>
          </w:p>
        </w:tc>
        <w:tc>
          <w:tcPr>
            <w:tcW w:w="2045" w:type="dxa"/>
            <w:shd w:val="clear" w:color="auto" w:fill="D9D9D9" w:themeFill="background1" w:themeFillShade="D9"/>
          </w:tcPr>
          <w:p w:rsidR="00F63CE4" w:rsidRPr="00DF3311" w:rsidRDefault="00F63CE4" w:rsidP="00F90E51">
            <w:pPr>
              <w:pStyle w:val="a9"/>
              <w:ind w:left="0"/>
            </w:pPr>
            <w:r w:rsidRPr="00DF3311">
              <w:t>Суд, вынесший решение о признании банкротом</w:t>
            </w:r>
          </w:p>
        </w:tc>
        <w:tc>
          <w:tcPr>
            <w:tcW w:w="2452" w:type="dxa"/>
          </w:tcPr>
          <w:p w:rsidR="00F63CE4" w:rsidRDefault="007837A6" w:rsidP="00E41303">
            <w:pPr>
              <w:pStyle w:val="a9"/>
              <w:ind w:left="0"/>
            </w:pPr>
            <w:r>
              <w:t xml:space="preserve">Арбитражный суд </w:t>
            </w:r>
            <w:r w:rsidR="00E41303">
              <w:t>Тюменской области</w:t>
            </w:r>
          </w:p>
        </w:tc>
      </w:tr>
      <w:tr w:rsidR="00F63CE4" w:rsidTr="00F90E51">
        <w:tc>
          <w:tcPr>
            <w:tcW w:w="3120" w:type="dxa"/>
            <w:shd w:val="clear" w:color="auto" w:fill="D9D9D9" w:themeFill="background1" w:themeFillShade="D9"/>
          </w:tcPr>
          <w:p w:rsidR="00F63CE4" w:rsidRPr="00DF3311" w:rsidRDefault="007837A6" w:rsidP="00F90E51">
            <w:pPr>
              <w:pStyle w:val="a9"/>
              <w:ind w:left="0"/>
            </w:pPr>
            <w:r>
              <w:t>Ф</w:t>
            </w:r>
            <w:r w:rsidR="00F63CE4">
              <w:t>инансовый управляющий</w:t>
            </w:r>
          </w:p>
        </w:tc>
        <w:tc>
          <w:tcPr>
            <w:tcW w:w="2159" w:type="dxa"/>
          </w:tcPr>
          <w:p w:rsidR="00F63CE4" w:rsidRDefault="00781D82" w:rsidP="00F90E51">
            <w:pPr>
              <w:pStyle w:val="a9"/>
              <w:ind w:left="0"/>
            </w:pPr>
            <w:r>
              <w:t>Газизова Наталья Андреевна</w:t>
            </w:r>
          </w:p>
        </w:tc>
        <w:tc>
          <w:tcPr>
            <w:tcW w:w="2045" w:type="dxa"/>
            <w:shd w:val="clear" w:color="auto" w:fill="D9D9D9" w:themeFill="background1" w:themeFillShade="D9"/>
          </w:tcPr>
          <w:p w:rsidR="00F63CE4" w:rsidRPr="00DF3311" w:rsidRDefault="00F63CE4" w:rsidP="00F90E51">
            <w:pPr>
              <w:pStyle w:val="a9"/>
              <w:ind w:left="0"/>
            </w:pPr>
            <w:r>
              <w:t>СРО</w:t>
            </w:r>
          </w:p>
        </w:tc>
        <w:tc>
          <w:tcPr>
            <w:tcW w:w="2452" w:type="dxa"/>
          </w:tcPr>
          <w:p w:rsidR="00F63CE4" w:rsidRDefault="00781D82" w:rsidP="00E41303">
            <w:pPr>
              <w:pStyle w:val="a9"/>
              <w:ind w:left="0"/>
            </w:pPr>
            <w:r>
              <w:t>Союз «СРО «Гильдия арбитражных управляющих»</w:t>
            </w:r>
          </w:p>
        </w:tc>
      </w:tr>
      <w:tr w:rsidR="00F63CE4" w:rsidTr="00F90E51">
        <w:tc>
          <w:tcPr>
            <w:tcW w:w="3120" w:type="dxa"/>
            <w:shd w:val="clear" w:color="auto" w:fill="D9D9D9" w:themeFill="background1" w:themeFillShade="D9"/>
          </w:tcPr>
          <w:p w:rsidR="00F63CE4" w:rsidRDefault="00F63CE4" w:rsidP="007837A6">
            <w:pPr>
              <w:pStyle w:val="a9"/>
              <w:ind w:left="0"/>
            </w:pPr>
            <w:r w:rsidRPr="00DF3311">
              <w:t>ИНН финансового управляющего</w:t>
            </w:r>
          </w:p>
        </w:tc>
        <w:tc>
          <w:tcPr>
            <w:tcW w:w="2159" w:type="dxa"/>
          </w:tcPr>
          <w:p w:rsidR="00F63CE4" w:rsidRDefault="000E6BF8" w:rsidP="00F90E51">
            <w:pPr>
              <w:pStyle w:val="a9"/>
              <w:ind w:left="0"/>
            </w:pPr>
            <w:r>
              <w:t>290140912930</w:t>
            </w:r>
          </w:p>
        </w:tc>
        <w:tc>
          <w:tcPr>
            <w:tcW w:w="2045" w:type="dxa"/>
            <w:shd w:val="clear" w:color="auto" w:fill="D9D9D9" w:themeFill="background1" w:themeFillShade="D9"/>
          </w:tcPr>
          <w:p w:rsidR="00F63CE4" w:rsidRDefault="00F63CE4" w:rsidP="007837A6">
            <w:pPr>
              <w:pStyle w:val="a9"/>
              <w:ind w:left="0"/>
            </w:pPr>
            <w:r w:rsidRPr="00DF3311">
              <w:t xml:space="preserve">Регистрационный номер финансового управляющего </w:t>
            </w:r>
            <w:r w:rsidRPr="00407B97">
              <w:t>в сводном государственном реестре арбитражных управляющих</w:t>
            </w:r>
          </w:p>
        </w:tc>
        <w:tc>
          <w:tcPr>
            <w:tcW w:w="2452" w:type="dxa"/>
          </w:tcPr>
          <w:p w:rsidR="00F63CE4" w:rsidRDefault="000E6BF8" w:rsidP="00F90E51">
            <w:pPr>
              <w:pStyle w:val="a9"/>
              <w:ind w:left="0"/>
            </w:pPr>
            <w:r>
              <w:t>22332</w:t>
            </w:r>
          </w:p>
        </w:tc>
      </w:tr>
      <w:tr w:rsidR="00F63CE4" w:rsidTr="00F90E51">
        <w:tc>
          <w:tcPr>
            <w:tcW w:w="3120" w:type="dxa"/>
            <w:shd w:val="clear" w:color="auto" w:fill="D9D9D9" w:themeFill="background1" w:themeFillShade="D9"/>
          </w:tcPr>
          <w:p w:rsidR="00F63CE4" w:rsidRDefault="00F63CE4" w:rsidP="00F90E51">
            <w:pPr>
              <w:pStyle w:val="a9"/>
              <w:ind w:left="0"/>
            </w:pPr>
            <w:r w:rsidRPr="00DF3311">
              <w:t>Адрес конкурсного/</w:t>
            </w:r>
            <w:r>
              <w:t xml:space="preserve"> </w:t>
            </w:r>
            <w:r w:rsidRPr="00DF3311">
              <w:t xml:space="preserve">финансового </w:t>
            </w:r>
            <w:r w:rsidRPr="00407B97">
              <w:t>управляющего</w:t>
            </w:r>
          </w:p>
        </w:tc>
        <w:tc>
          <w:tcPr>
            <w:tcW w:w="6656" w:type="dxa"/>
            <w:gridSpan w:val="3"/>
          </w:tcPr>
          <w:p w:rsidR="00F63CE4" w:rsidRDefault="000E6BF8" w:rsidP="000E6BF8">
            <w:pPr>
              <w:pStyle w:val="a9"/>
              <w:ind w:left="0"/>
            </w:pPr>
            <w:r>
              <w:t>163069, Архангельская область, г. Архангельск, ул. Воскресенская, д. 59, эт. 2</w:t>
            </w:r>
          </w:p>
        </w:tc>
      </w:tr>
      <w:tr w:rsidR="00F63CE4" w:rsidTr="00F90E51">
        <w:tc>
          <w:tcPr>
            <w:tcW w:w="3120" w:type="dxa"/>
            <w:shd w:val="clear" w:color="auto" w:fill="D9D9D9" w:themeFill="background1" w:themeFillShade="D9"/>
          </w:tcPr>
          <w:p w:rsidR="00F63CE4" w:rsidRDefault="00F63CE4" w:rsidP="00F90E51">
            <w:pPr>
              <w:pStyle w:val="a9"/>
              <w:ind w:left="0"/>
            </w:pPr>
            <w:r w:rsidRPr="009B5336">
              <w:t>Адрес СРО</w:t>
            </w:r>
          </w:p>
        </w:tc>
        <w:tc>
          <w:tcPr>
            <w:tcW w:w="6656" w:type="dxa"/>
            <w:gridSpan w:val="3"/>
          </w:tcPr>
          <w:p w:rsidR="00F63CE4" w:rsidRDefault="000E6BF8" w:rsidP="009350FE">
            <w:pPr>
              <w:pStyle w:val="a9"/>
              <w:ind w:left="0"/>
            </w:pPr>
            <w:r>
              <w:t>420034, респ. Татарстан, г. Казань, ул. Соловецких Юнг, д. 7, кв. 1004</w:t>
            </w:r>
          </w:p>
        </w:tc>
      </w:tr>
    </w:tbl>
    <w:p w:rsidR="00F63CE4" w:rsidRPr="005E543C" w:rsidRDefault="00F63CE4" w:rsidP="00F63CE4">
      <w:pPr>
        <w:pStyle w:val="a9"/>
        <w:numPr>
          <w:ilvl w:val="1"/>
          <w:numId w:val="9"/>
        </w:numPr>
        <w:spacing w:before="120" w:after="120" w:line="276" w:lineRule="auto"/>
        <w:ind w:left="142"/>
        <w:rPr>
          <w:b/>
        </w:rPr>
      </w:pPr>
      <w:r w:rsidRPr="005E543C">
        <w:rPr>
          <w:b/>
        </w:rPr>
        <w:t>Сведения о счетах должника:</w:t>
      </w:r>
    </w:p>
    <w:tbl>
      <w:tblPr>
        <w:tblStyle w:val="ab"/>
        <w:tblW w:w="0" w:type="auto"/>
        <w:tblInd w:w="-431" w:type="dxa"/>
        <w:tblLook w:val="04A0" w:firstRow="1" w:lastRow="0" w:firstColumn="1" w:lastColumn="0" w:noHBand="0" w:noVBand="1"/>
      </w:tblPr>
      <w:tblGrid>
        <w:gridCol w:w="5246"/>
        <w:gridCol w:w="4530"/>
      </w:tblGrid>
      <w:tr w:rsidR="00F63CE4" w:rsidRPr="00E27639" w:rsidTr="00F90E51">
        <w:tc>
          <w:tcPr>
            <w:tcW w:w="5246" w:type="dxa"/>
            <w:shd w:val="clear" w:color="auto" w:fill="D9D9D9" w:themeFill="background1" w:themeFillShade="D9"/>
          </w:tcPr>
          <w:p w:rsidR="00F63CE4" w:rsidRPr="00E27639" w:rsidRDefault="00F63CE4" w:rsidP="00F90E51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39">
              <w:rPr>
                <w:rFonts w:ascii="Times New Roman" w:hAnsi="Times New Roman" w:cs="Times New Roman"/>
                <w:sz w:val="24"/>
                <w:szCs w:val="24"/>
              </w:rPr>
              <w:t>Реквизиты счета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который вносится задаток</w:t>
            </w:r>
            <w:r w:rsidRPr="00E27639">
              <w:rPr>
                <w:rFonts w:ascii="Times New Roman" w:hAnsi="Times New Roman" w:cs="Times New Roman"/>
                <w:sz w:val="24"/>
                <w:szCs w:val="24"/>
              </w:rPr>
              <w:t xml:space="preserve"> (п. 3 ст. 138 Закона о банкротстве)</w:t>
            </w:r>
          </w:p>
        </w:tc>
        <w:tc>
          <w:tcPr>
            <w:tcW w:w="4530" w:type="dxa"/>
          </w:tcPr>
          <w:p w:rsidR="00F63CE4" w:rsidRPr="00E27639" w:rsidRDefault="007837A6" w:rsidP="00F90E51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открывается финансовым управляющим (при необходимости) и реквизиты счета указываются в публикации о торгах</w:t>
            </w:r>
          </w:p>
        </w:tc>
      </w:tr>
      <w:tr w:rsidR="00F63CE4" w:rsidRPr="00E27639" w:rsidTr="00F90E51">
        <w:tc>
          <w:tcPr>
            <w:tcW w:w="5246" w:type="dxa"/>
            <w:shd w:val="clear" w:color="auto" w:fill="D9D9D9" w:themeFill="background1" w:themeFillShade="D9"/>
          </w:tcPr>
          <w:p w:rsidR="00F63CE4" w:rsidRPr="00E27639" w:rsidRDefault="00F63CE4" w:rsidP="00F90E51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39">
              <w:rPr>
                <w:rFonts w:ascii="Times New Roman" w:hAnsi="Times New Roman" w:cs="Times New Roman"/>
                <w:sz w:val="24"/>
                <w:szCs w:val="24"/>
              </w:rPr>
              <w:t>Реквизиты специального счета (п. 3 ст. 138 Закона о банкротстве)</w:t>
            </w:r>
          </w:p>
        </w:tc>
        <w:tc>
          <w:tcPr>
            <w:tcW w:w="4530" w:type="dxa"/>
          </w:tcPr>
          <w:p w:rsidR="00F63CE4" w:rsidRPr="00E27639" w:rsidRDefault="007837A6" w:rsidP="00B91D73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открывается финансовым управляющим и реквизиты счета указываются в публикации о торгах</w:t>
            </w:r>
          </w:p>
        </w:tc>
      </w:tr>
    </w:tbl>
    <w:p w:rsidR="00F63CE4" w:rsidRPr="00E629A8" w:rsidRDefault="00F63CE4" w:rsidP="00F63CE4">
      <w:pPr>
        <w:pStyle w:val="a9"/>
        <w:numPr>
          <w:ilvl w:val="1"/>
          <w:numId w:val="9"/>
        </w:numPr>
        <w:spacing w:before="120" w:after="120" w:line="276" w:lineRule="auto"/>
        <w:ind w:left="0" w:hanging="7"/>
        <w:jc w:val="both"/>
        <w:rPr>
          <w:b/>
        </w:rPr>
      </w:pPr>
      <w:r w:rsidRPr="00E629A8">
        <w:rPr>
          <w:b/>
        </w:rPr>
        <w:t xml:space="preserve">Основные термины </w:t>
      </w:r>
    </w:p>
    <w:p w:rsidR="00F63CE4" w:rsidRDefault="00F63CE4" w:rsidP="00F63CE4">
      <w:pPr>
        <w:pStyle w:val="a9"/>
        <w:spacing w:before="120" w:after="120" w:line="276" w:lineRule="auto"/>
        <w:ind w:left="0" w:hanging="7"/>
        <w:jc w:val="both"/>
      </w:pPr>
      <w:r w:rsidRPr="00E629A8">
        <w:t>Имущество</w:t>
      </w:r>
      <w:r>
        <w:t>, Имущество Должника</w:t>
      </w:r>
      <w:r w:rsidRPr="00E629A8">
        <w:t xml:space="preserve"> – имущество Должника, </w:t>
      </w:r>
      <w:r>
        <w:t>наход</w:t>
      </w:r>
      <w:r w:rsidR="00B91D73">
        <w:t>ящееся в залоге у ПАО Сбербанк,</w:t>
      </w:r>
      <w:r>
        <w:t xml:space="preserve"> реализуемое на торгах в банкротстве</w:t>
      </w:r>
      <w:r w:rsidRPr="00E629A8">
        <w:t xml:space="preserve"> и указанное в Приложении 1 к настоящему Положению.</w:t>
      </w:r>
    </w:p>
    <w:p w:rsidR="00F63CE4" w:rsidRPr="00E629A8" w:rsidRDefault="00F63CE4" w:rsidP="00F63CE4">
      <w:pPr>
        <w:pStyle w:val="a9"/>
        <w:spacing w:before="120" w:after="120" w:line="276" w:lineRule="auto"/>
        <w:ind w:left="0" w:hanging="7"/>
        <w:jc w:val="both"/>
      </w:pPr>
      <w:r>
        <w:t>Конкурсный кредитор, он же Залоговый кредитор – ПАО Сбербанк</w:t>
      </w:r>
      <w:r w:rsidR="009350FE">
        <w:t xml:space="preserve"> </w:t>
      </w:r>
      <w:r>
        <w:t>по денежному обязательству, обеспеченному залогом Имущества.</w:t>
      </w:r>
    </w:p>
    <w:p w:rsidR="00F63CE4" w:rsidRPr="00E629A8" w:rsidRDefault="00F63CE4" w:rsidP="00F63CE4">
      <w:pPr>
        <w:pStyle w:val="a9"/>
        <w:spacing w:before="120" w:after="120" w:line="276" w:lineRule="auto"/>
        <w:ind w:left="0" w:hanging="7"/>
        <w:jc w:val="both"/>
      </w:pPr>
      <w:r>
        <w:t>Финансовый управляющий – арбитражный управляющий Должника, указанный в п.1.6 настоящего Положения.</w:t>
      </w:r>
      <w:r w:rsidRPr="00E629A8">
        <w:t xml:space="preserve"> </w:t>
      </w:r>
    </w:p>
    <w:p w:rsidR="00F63CE4" w:rsidRPr="00E629A8" w:rsidRDefault="00F63CE4" w:rsidP="00F63CE4">
      <w:pPr>
        <w:pStyle w:val="a9"/>
        <w:spacing w:before="120" w:after="120" w:line="276" w:lineRule="auto"/>
        <w:ind w:left="0" w:hanging="7"/>
        <w:jc w:val="both"/>
      </w:pPr>
      <w:r w:rsidRPr="00E629A8">
        <w:t xml:space="preserve">Организатор торгов – лицо, осуществляющее продажу Имущества на торгах и указанное в п.1.2 настоящего Положения. </w:t>
      </w:r>
    </w:p>
    <w:p w:rsidR="00F63CE4" w:rsidRDefault="00F63CE4" w:rsidP="00F63CE4">
      <w:pPr>
        <w:pStyle w:val="a9"/>
        <w:spacing w:before="120" w:after="120" w:line="276" w:lineRule="auto"/>
        <w:ind w:left="0" w:hanging="7"/>
        <w:jc w:val="both"/>
      </w:pPr>
      <w:r w:rsidRPr="00E629A8">
        <w:t>Шаг снижения цены – величина понижения цены Имущества при его продаже в рамках публичного предложения</w:t>
      </w:r>
      <w:r>
        <w:t>.</w:t>
      </w:r>
    </w:p>
    <w:p w:rsidR="00F63CE4" w:rsidRPr="00E629A8" w:rsidRDefault="00F63CE4" w:rsidP="00F63CE4">
      <w:pPr>
        <w:pStyle w:val="a9"/>
        <w:spacing w:before="120" w:after="120" w:line="276" w:lineRule="auto"/>
        <w:ind w:left="0" w:hanging="7"/>
        <w:jc w:val="both"/>
      </w:pPr>
      <w:r>
        <w:t>Цена отсечения – минимальная цена продажи Имущества, ниже которой оно не может быть продано.</w:t>
      </w:r>
    </w:p>
    <w:p w:rsidR="00F63CE4" w:rsidRPr="005E543C" w:rsidRDefault="00F63CE4" w:rsidP="00F63CE4">
      <w:pPr>
        <w:pStyle w:val="a9"/>
        <w:numPr>
          <w:ilvl w:val="1"/>
          <w:numId w:val="9"/>
        </w:numPr>
        <w:tabs>
          <w:tab w:val="left" w:pos="447"/>
        </w:tabs>
        <w:spacing w:before="120" w:after="120" w:line="276" w:lineRule="auto"/>
        <w:ind w:left="0" w:hanging="7"/>
        <w:jc w:val="both"/>
        <w:rPr>
          <w:b/>
        </w:rPr>
      </w:pPr>
      <w:r w:rsidRPr="005E543C">
        <w:rPr>
          <w:b/>
        </w:rPr>
        <w:t>Прочие условия:</w:t>
      </w:r>
    </w:p>
    <w:p w:rsidR="00F63CE4" w:rsidRPr="000B076F" w:rsidRDefault="00F63CE4" w:rsidP="00F63CE4">
      <w:pPr>
        <w:pStyle w:val="21"/>
        <w:numPr>
          <w:ilvl w:val="2"/>
          <w:numId w:val="9"/>
        </w:numPr>
        <w:shd w:val="clear" w:color="auto" w:fill="auto"/>
        <w:tabs>
          <w:tab w:val="left" w:pos="447"/>
        </w:tabs>
        <w:spacing w:before="120" w:after="120" w:line="276" w:lineRule="auto"/>
        <w:ind w:left="0" w:hanging="7"/>
        <w:jc w:val="both"/>
        <w:rPr>
          <w:sz w:val="24"/>
          <w:szCs w:val="24"/>
        </w:rPr>
      </w:pPr>
      <w:r w:rsidRPr="000B076F">
        <w:rPr>
          <w:sz w:val="24"/>
          <w:szCs w:val="24"/>
        </w:rPr>
        <w:t xml:space="preserve">Продажа </w:t>
      </w:r>
      <w:r>
        <w:rPr>
          <w:sz w:val="24"/>
          <w:szCs w:val="24"/>
        </w:rPr>
        <w:t>И</w:t>
      </w:r>
      <w:r w:rsidRPr="000B076F">
        <w:rPr>
          <w:sz w:val="24"/>
          <w:szCs w:val="24"/>
        </w:rPr>
        <w:t xml:space="preserve">мущества Должника осуществляется в соответствии с нормами Гражданского кодекса Российской Федерации, Федерального закона от 26.10.2002 № 127-ФЗ «О несостоятельности (банкротстве)» (далее </w:t>
      </w:r>
      <w:r>
        <w:rPr>
          <w:sz w:val="24"/>
          <w:szCs w:val="24"/>
        </w:rPr>
        <w:t xml:space="preserve">– </w:t>
      </w:r>
      <w:r w:rsidRPr="000B076F">
        <w:rPr>
          <w:sz w:val="24"/>
          <w:szCs w:val="24"/>
        </w:rPr>
        <w:t>Закон о банкротстве), иным применимым законодательством Российской Федерации, Приказом Минэкономразвития России от 23.07.2015 №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№ 178 и признании утратившими силу некоторых приказов Минэкономразвития России» (далее – Приказ Минэкономразвития №495) и условиями настоящего Положения.</w:t>
      </w:r>
    </w:p>
    <w:p w:rsidR="00F63CE4" w:rsidRDefault="00F63CE4" w:rsidP="00F63CE4">
      <w:pPr>
        <w:pStyle w:val="21"/>
        <w:numPr>
          <w:ilvl w:val="2"/>
          <w:numId w:val="9"/>
        </w:numPr>
        <w:shd w:val="clear" w:color="auto" w:fill="auto"/>
        <w:tabs>
          <w:tab w:val="left" w:pos="447"/>
        </w:tabs>
        <w:spacing w:before="120" w:after="120" w:line="276" w:lineRule="auto"/>
        <w:ind w:left="0" w:hanging="7"/>
        <w:jc w:val="both"/>
        <w:rPr>
          <w:sz w:val="24"/>
          <w:szCs w:val="24"/>
        </w:rPr>
      </w:pPr>
      <w:r w:rsidRPr="00430DAB">
        <w:rPr>
          <w:sz w:val="24"/>
          <w:szCs w:val="24"/>
        </w:rPr>
        <w:t xml:space="preserve">Настоящее Положение о порядке, сроках и условиях продажи </w:t>
      </w:r>
      <w:r>
        <w:rPr>
          <w:sz w:val="24"/>
          <w:szCs w:val="24"/>
        </w:rPr>
        <w:t>И</w:t>
      </w:r>
      <w:r w:rsidRPr="00430DAB">
        <w:rPr>
          <w:sz w:val="24"/>
          <w:szCs w:val="24"/>
        </w:rPr>
        <w:t xml:space="preserve">мущества Должника утверждено в целях реализации </w:t>
      </w:r>
      <w:r>
        <w:rPr>
          <w:sz w:val="24"/>
          <w:szCs w:val="24"/>
        </w:rPr>
        <w:t>И</w:t>
      </w:r>
      <w:r w:rsidRPr="00430DAB">
        <w:rPr>
          <w:sz w:val="24"/>
          <w:szCs w:val="24"/>
        </w:rPr>
        <w:t>мущества по наиболее высокой цене и в целях привлечения к торгам наибольшего числа потенциальных покупателей.</w:t>
      </w:r>
    </w:p>
    <w:p w:rsidR="00840BC0" w:rsidRPr="00840BC0" w:rsidRDefault="00F63CE4" w:rsidP="00840BC0">
      <w:pPr>
        <w:pStyle w:val="21"/>
        <w:numPr>
          <w:ilvl w:val="2"/>
          <w:numId w:val="9"/>
        </w:numPr>
        <w:shd w:val="clear" w:color="auto" w:fill="auto"/>
        <w:tabs>
          <w:tab w:val="left" w:pos="447"/>
        </w:tabs>
        <w:spacing w:before="120" w:after="120" w:line="276" w:lineRule="auto"/>
        <w:ind w:left="0" w:hanging="7"/>
        <w:jc w:val="both"/>
        <w:rPr>
          <w:sz w:val="24"/>
          <w:szCs w:val="24"/>
        </w:rPr>
      </w:pPr>
      <w:r w:rsidRPr="00430DAB">
        <w:rPr>
          <w:sz w:val="24"/>
          <w:szCs w:val="24"/>
        </w:rPr>
        <w:t xml:space="preserve">Изменения порядка, сроков и (или) условий продажи </w:t>
      </w:r>
      <w:r>
        <w:rPr>
          <w:sz w:val="24"/>
          <w:szCs w:val="24"/>
        </w:rPr>
        <w:t>И</w:t>
      </w:r>
      <w:r w:rsidRPr="00430DAB">
        <w:rPr>
          <w:sz w:val="24"/>
          <w:szCs w:val="24"/>
        </w:rPr>
        <w:t>мущества, в том числе состава лота</w:t>
      </w:r>
      <w:r>
        <w:rPr>
          <w:sz w:val="24"/>
          <w:szCs w:val="24"/>
        </w:rPr>
        <w:t xml:space="preserve"> </w:t>
      </w:r>
      <w:r w:rsidRPr="00430DAB">
        <w:rPr>
          <w:sz w:val="24"/>
          <w:szCs w:val="24"/>
        </w:rPr>
        <w:t xml:space="preserve">утверждаются </w:t>
      </w:r>
      <w:r>
        <w:rPr>
          <w:sz w:val="24"/>
          <w:szCs w:val="24"/>
        </w:rPr>
        <w:t xml:space="preserve">до проведения торгов </w:t>
      </w:r>
      <w:r w:rsidRPr="00430DAB">
        <w:rPr>
          <w:sz w:val="24"/>
          <w:szCs w:val="24"/>
        </w:rPr>
        <w:t>в порядке, в котором утверждалось настоящее Положение</w:t>
      </w:r>
      <w:r>
        <w:rPr>
          <w:sz w:val="24"/>
          <w:szCs w:val="24"/>
        </w:rPr>
        <w:t xml:space="preserve">, </w:t>
      </w:r>
      <w:r w:rsidRPr="00430DAB">
        <w:rPr>
          <w:sz w:val="24"/>
          <w:szCs w:val="24"/>
        </w:rPr>
        <w:t xml:space="preserve">и оформляются Дополнениями к настоящему Положению, если иное не предусмотрено </w:t>
      </w:r>
      <w:r>
        <w:rPr>
          <w:sz w:val="24"/>
          <w:szCs w:val="24"/>
        </w:rPr>
        <w:t>п.4.7</w:t>
      </w:r>
      <w:r w:rsidRPr="00430DAB">
        <w:rPr>
          <w:sz w:val="24"/>
          <w:szCs w:val="24"/>
        </w:rPr>
        <w:t xml:space="preserve"> настоящего Положения.</w:t>
      </w:r>
    </w:p>
    <w:p w:rsidR="00F63CE4" w:rsidRPr="00605DE7" w:rsidRDefault="00F63CE4" w:rsidP="00F63CE4">
      <w:pPr>
        <w:pStyle w:val="a9"/>
        <w:numPr>
          <w:ilvl w:val="0"/>
          <w:numId w:val="9"/>
        </w:numPr>
        <w:spacing w:before="120" w:after="120" w:line="276" w:lineRule="auto"/>
        <w:ind w:left="0" w:hanging="7"/>
        <w:rPr>
          <w:b/>
        </w:rPr>
      </w:pPr>
      <w:r w:rsidRPr="00605DE7">
        <w:rPr>
          <w:b/>
        </w:rPr>
        <w:t>Проведение первых торгов</w:t>
      </w:r>
    </w:p>
    <w:p w:rsidR="00F63CE4" w:rsidRPr="00564A26" w:rsidRDefault="00F63CE4" w:rsidP="00F63CE4">
      <w:pPr>
        <w:pStyle w:val="HTML"/>
        <w:numPr>
          <w:ilvl w:val="1"/>
          <w:numId w:val="9"/>
        </w:numPr>
        <w:spacing w:before="120" w:after="120" w:line="276" w:lineRule="auto"/>
        <w:ind w:left="0" w:hanging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Торги проводятся О</w:t>
      </w:r>
      <w:r w:rsidRPr="00564A26">
        <w:rPr>
          <w:rFonts w:ascii="Times New Roman" w:hAnsi="Times New Roman" w:cs="Times New Roman"/>
          <w:sz w:val="24"/>
          <w:szCs w:val="24"/>
        </w:rPr>
        <w:t xml:space="preserve">рганизатором торгов в соответствии с </w:t>
      </w:r>
      <w:hyperlink r:id="rId9" w:history="1">
        <w:r w:rsidRPr="00D426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пунктами </w:t>
        </w:r>
      </w:hyperlink>
      <w:r w:rsidRPr="00D4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4,5,8 - </w:t>
      </w:r>
      <w:hyperlink r:id="rId10" w:history="1">
        <w:r w:rsidRPr="00D426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 статьи 110</w:t>
        </w:r>
      </w:hyperlink>
      <w:r w:rsidRPr="00D4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1" w:history="1">
        <w:r w:rsidRPr="00D426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 статьи 111</w:t>
        </w:r>
      </w:hyperlink>
      <w:r w:rsidRPr="00564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статьей 138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пунктом 4 статьи 213.26</w:t>
      </w:r>
      <w:r w:rsidR="00B91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о банкротстве, гл. </w:t>
      </w:r>
      <w:r w:rsidRPr="00564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564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Минэкономразвития №495 с особенностями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64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установленными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64A2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оложением.</w:t>
      </w:r>
    </w:p>
    <w:p w:rsidR="00F63CE4" w:rsidRPr="00564A26" w:rsidRDefault="00F63CE4" w:rsidP="00F63CE4">
      <w:pPr>
        <w:pStyle w:val="a9"/>
        <w:numPr>
          <w:ilvl w:val="1"/>
          <w:numId w:val="9"/>
        </w:numPr>
        <w:ind w:left="0" w:hanging="7"/>
        <w:jc w:val="both"/>
      </w:pPr>
      <w:bookmarkStart w:id="0" w:name="_Ref112420295"/>
      <w:r>
        <w:t>Р</w:t>
      </w:r>
      <w:r w:rsidRPr="00386F24">
        <w:t>азмещени</w:t>
      </w:r>
      <w:r>
        <w:t>е</w:t>
      </w:r>
      <w:r w:rsidRPr="00386F24">
        <w:t xml:space="preserve"> </w:t>
      </w:r>
      <w:r>
        <w:t>сообщения</w:t>
      </w:r>
      <w:r w:rsidRPr="00386F24">
        <w:t xml:space="preserve"> в Едином федеральном реестре сведений о банкротстве </w:t>
      </w:r>
      <w:r w:rsidRPr="00E976F5">
        <w:t>должн</w:t>
      </w:r>
      <w:r>
        <w:t>ы</w:t>
      </w:r>
      <w:r w:rsidRPr="00E976F5">
        <w:t xml:space="preserve"> быть осуществлен</w:t>
      </w:r>
      <w:r>
        <w:t>ы</w:t>
      </w:r>
      <w:r w:rsidRPr="00E976F5">
        <w:t xml:space="preserve"> Организатором торгов </w:t>
      </w:r>
      <w:r>
        <w:t>н</w:t>
      </w:r>
      <w:r w:rsidRPr="00E976F5">
        <w:t>е позднее чем за 30 (Тридцать) календарных дней до даты проведения торгов</w:t>
      </w:r>
      <w:r>
        <w:t xml:space="preserve">. Не позднее чем за 15 (пятнадцать) календарных дней до даты начала продажи Имущества на торгах сведения о начальной продажной цене Имущества, порядке и условиях проведения торгов, порядке и условиях обеспечения сохранности Имущества, определенные Конкурсным кредитором, требования которого обеспечены залогом реализуемого Имущества, в Положении, должны быть включены Конкурсным управляющим в Единый федеральный реестр сведений о банкротстве. </w:t>
      </w:r>
      <w:bookmarkEnd w:id="0"/>
    </w:p>
    <w:p w:rsidR="00F63CE4" w:rsidRDefault="00F63CE4" w:rsidP="00F63CE4">
      <w:pPr>
        <w:pStyle w:val="a9"/>
        <w:numPr>
          <w:ilvl w:val="1"/>
          <w:numId w:val="9"/>
        </w:numPr>
        <w:spacing w:before="120" w:after="120" w:line="276" w:lineRule="auto"/>
        <w:ind w:left="0" w:hanging="7"/>
        <w:jc w:val="both"/>
      </w:pPr>
      <w:r w:rsidRPr="00564A26">
        <w:t xml:space="preserve">Информационное сообщение о проведении торгов дополнительно к сведениям, указанным в п.10 ст. 110 Закона о банкротстве, должно включать сведения о том, что </w:t>
      </w:r>
      <w:r>
        <w:t>И</w:t>
      </w:r>
      <w:r w:rsidRPr="00564A26">
        <w:t>мущество является предметом залога ПАО</w:t>
      </w:r>
      <w:r>
        <w:t>, содержать информацию об ограничениях (при их наличии); разъяснения относительно порядка осмотра Имущества, ознакомления с относящимися к нему документами.</w:t>
      </w:r>
    </w:p>
    <w:p w:rsidR="00C959EB" w:rsidRDefault="00C959EB" w:rsidP="00F63CE4">
      <w:pPr>
        <w:pStyle w:val="a9"/>
        <w:numPr>
          <w:ilvl w:val="1"/>
          <w:numId w:val="9"/>
        </w:numPr>
        <w:spacing w:before="120" w:after="120" w:line="276" w:lineRule="auto"/>
        <w:ind w:left="0" w:hanging="7"/>
        <w:jc w:val="both"/>
      </w:pPr>
      <w:r w:rsidRPr="00564A26">
        <w:t>Информационное сообщение о проведении торгов дополнительно к сведениям, указанным в п.10 ст. 110 Закона о банкротстве,</w:t>
      </w:r>
      <w:r>
        <w:t xml:space="preserve"> может содержать информацию о возможности приобретения Имущества с испо</w:t>
      </w:r>
      <w:r w:rsidR="00201539">
        <w:t>л</w:t>
      </w:r>
      <w:r>
        <w:t xml:space="preserve">ьзованием кредитных средств </w:t>
      </w:r>
      <w:r w:rsidR="006A4546">
        <w:t>ПАО Сбербанк</w:t>
      </w:r>
      <w:r w:rsidR="00201539">
        <w:t xml:space="preserve">. Договор купли-продажи в этом случае заключается по форме </w:t>
      </w:r>
      <w:r w:rsidR="006A4546">
        <w:t>ПАО Сбербанк</w:t>
      </w:r>
      <w:r w:rsidR="00201539">
        <w:t>. Проект договора купли-продажи включается в состав информационного сообщения о проведении торгов.</w:t>
      </w:r>
    </w:p>
    <w:p w:rsidR="00F63CE4" w:rsidRPr="00605DE7" w:rsidRDefault="00F63CE4" w:rsidP="00F63CE4">
      <w:pPr>
        <w:pStyle w:val="a9"/>
        <w:numPr>
          <w:ilvl w:val="0"/>
          <w:numId w:val="9"/>
        </w:numPr>
        <w:spacing w:before="120" w:after="120" w:line="276" w:lineRule="auto"/>
        <w:ind w:left="0" w:hanging="7"/>
        <w:rPr>
          <w:b/>
        </w:rPr>
      </w:pPr>
      <w:r w:rsidRPr="00605DE7">
        <w:rPr>
          <w:b/>
        </w:rPr>
        <w:t>Проведение повторных торгов</w:t>
      </w:r>
    </w:p>
    <w:p w:rsidR="00F63CE4" w:rsidRPr="00564A26" w:rsidRDefault="00F63CE4" w:rsidP="00F63CE4">
      <w:pPr>
        <w:pStyle w:val="HTML"/>
        <w:numPr>
          <w:ilvl w:val="1"/>
          <w:numId w:val="9"/>
        </w:numPr>
        <w:spacing w:before="120" w:after="120" w:line="276" w:lineRule="auto"/>
        <w:ind w:left="0" w:hanging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A26">
        <w:rPr>
          <w:rFonts w:ascii="Times New Roman" w:hAnsi="Times New Roman" w:cs="Times New Roman"/>
          <w:sz w:val="24"/>
          <w:szCs w:val="24"/>
        </w:rPr>
        <w:t xml:space="preserve">Повторные торги проводятся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64A26">
        <w:rPr>
          <w:rFonts w:ascii="Times New Roman" w:hAnsi="Times New Roman" w:cs="Times New Roman"/>
          <w:sz w:val="24"/>
          <w:szCs w:val="24"/>
        </w:rPr>
        <w:t>рганизатором торгов в порядке, установленном для проведения первых торгов.</w:t>
      </w:r>
    </w:p>
    <w:p w:rsidR="00F63CE4" w:rsidRPr="00564A26" w:rsidRDefault="00F63CE4" w:rsidP="00F63CE4">
      <w:pPr>
        <w:pStyle w:val="HTML"/>
        <w:numPr>
          <w:ilvl w:val="1"/>
          <w:numId w:val="9"/>
        </w:numPr>
        <w:spacing w:before="120" w:after="120" w:line="276" w:lineRule="auto"/>
        <w:ind w:left="0" w:hanging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продажная цена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64A2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мущества на повторных торгах устанавливается на 10 процентов ниже начальной цены продажи Имущества на первых торгах.</w:t>
      </w:r>
    </w:p>
    <w:p w:rsidR="00F63CE4" w:rsidRPr="00EB70C0" w:rsidRDefault="00F63CE4" w:rsidP="00F63CE4">
      <w:pPr>
        <w:pStyle w:val="21"/>
        <w:numPr>
          <w:ilvl w:val="1"/>
          <w:numId w:val="9"/>
        </w:numPr>
        <w:shd w:val="clear" w:color="auto" w:fill="auto"/>
        <w:tabs>
          <w:tab w:val="left" w:pos="586"/>
        </w:tabs>
        <w:spacing w:before="0" w:after="56" w:line="276" w:lineRule="auto"/>
        <w:ind w:left="0" w:hanging="7"/>
        <w:jc w:val="both"/>
        <w:rPr>
          <w:sz w:val="24"/>
          <w:szCs w:val="24"/>
          <w:lang w:eastAsia="ru-RU"/>
        </w:rPr>
      </w:pPr>
      <w:r>
        <w:t xml:space="preserve">В </w:t>
      </w:r>
      <w:r w:rsidRPr="00EB70C0">
        <w:rPr>
          <w:sz w:val="24"/>
          <w:szCs w:val="24"/>
          <w:lang w:eastAsia="ru-RU"/>
        </w:rPr>
        <w:t>случае, если повторные торги по продаже Имущества Должника</w:t>
      </w:r>
      <w:r>
        <w:rPr>
          <w:sz w:val="24"/>
          <w:szCs w:val="24"/>
          <w:lang w:eastAsia="ru-RU"/>
        </w:rPr>
        <w:t xml:space="preserve"> </w:t>
      </w:r>
      <w:r w:rsidRPr="00EB70C0">
        <w:rPr>
          <w:sz w:val="24"/>
          <w:szCs w:val="24"/>
          <w:lang w:eastAsia="ru-RU"/>
        </w:rPr>
        <w:t xml:space="preserve">признаны несостоявшимися или договор купли-продажи не был заключен с их единственным участником, </w:t>
      </w:r>
      <w:r>
        <w:rPr>
          <w:sz w:val="24"/>
          <w:szCs w:val="24"/>
          <w:lang w:eastAsia="ru-RU"/>
        </w:rPr>
        <w:t xml:space="preserve">или </w:t>
      </w:r>
      <w:r w:rsidRPr="00EB70C0">
        <w:rPr>
          <w:sz w:val="24"/>
          <w:szCs w:val="24"/>
          <w:lang w:eastAsia="ru-RU"/>
        </w:rPr>
        <w:t>в случае незаключения договора купли-продажи по результатам</w:t>
      </w:r>
      <w:r>
        <w:rPr>
          <w:sz w:val="24"/>
          <w:szCs w:val="24"/>
          <w:lang w:eastAsia="ru-RU"/>
        </w:rPr>
        <w:t xml:space="preserve"> повторных</w:t>
      </w:r>
      <w:r w:rsidRPr="00EB70C0">
        <w:rPr>
          <w:sz w:val="24"/>
          <w:szCs w:val="24"/>
          <w:lang w:eastAsia="ru-RU"/>
        </w:rPr>
        <w:t xml:space="preserve"> торгов, </w:t>
      </w:r>
      <w:r>
        <w:rPr>
          <w:sz w:val="24"/>
          <w:szCs w:val="24"/>
          <w:lang w:eastAsia="ru-RU"/>
        </w:rPr>
        <w:t xml:space="preserve">а также в случае если Залогодержатель </w:t>
      </w:r>
      <w:r w:rsidRPr="000609E7">
        <w:rPr>
          <w:sz w:val="24"/>
          <w:szCs w:val="24"/>
          <w:lang w:eastAsia="ru-RU"/>
        </w:rPr>
        <w:t xml:space="preserve">не воспользуется правом оставить предмет залога за собой </w:t>
      </w:r>
      <w:r>
        <w:rPr>
          <w:sz w:val="24"/>
          <w:szCs w:val="24"/>
          <w:lang w:eastAsia="ru-RU"/>
        </w:rPr>
        <w:t xml:space="preserve"> полностью или частично в течение 30 (Тридцати) дней со дня признания повторных торгов несостоявшимися, а также при неоплате Залогодержателем суммы, подлежащей оплате при оставлении Имущества за собой, </w:t>
      </w:r>
      <w:r w:rsidRPr="001470B5">
        <w:rPr>
          <w:sz w:val="24"/>
          <w:szCs w:val="24"/>
          <w:lang w:eastAsia="ru-RU"/>
        </w:rPr>
        <w:t>проводятся торги посредством публичного предложения</w:t>
      </w:r>
      <w:r w:rsidRPr="00EB70C0">
        <w:rPr>
          <w:sz w:val="24"/>
          <w:szCs w:val="24"/>
          <w:lang w:eastAsia="ru-RU"/>
        </w:rPr>
        <w:t xml:space="preserve"> в порядке, установленном п. 4 настоящего Положения.</w:t>
      </w:r>
    </w:p>
    <w:p w:rsidR="00F63CE4" w:rsidRPr="00605DE7" w:rsidRDefault="00F63CE4" w:rsidP="00F63CE4">
      <w:pPr>
        <w:pStyle w:val="a9"/>
        <w:numPr>
          <w:ilvl w:val="0"/>
          <w:numId w:val="9"/>
        </w:numPr>
        <w:spacing w:before="120" w:after="120" w:line="276" w:lineRule="auto"/>
        <w:ind w:left="0" w:hanging="7"/>
        <w:rPr>
          <w:b/>
        </w:rPr>
      </w:pPr>
      <w:r w:rsidRPr="00605DE7">
        <w:rPr>
          <w:b/>
        </w:rPr>
        <w:t xml:space="preserve">Проведение торгов посредством публичного </w:t>
      </w:r>
      <w:r w:rsidRPr="006B0157">
        <w:rPr>
          <w:b/>
        </w:rPr>
        <w:t xml:space="preserve">предложения </w:t>
      </w:r>
    </w:p>
    <w:p w:rsidR="00F63CE4" w:rsidRPr="00564A26" w:rsidRDefault="00F63CE4" w:rsidP="00F63CE4">
      <w:pPr>
        <w:pStyle w:val="a9"/>
        <w:numPr>
          <w:ilvl w:val="1"/>
          <w:numId w:val="9"/>
        </w:numPr>
        <w:spacing w:before="120" w:after="120" w:line="276" w:lineRule="auto"/>
        <w:ind w:left="0" w:hanging="7"/>
        <w:jc w:val="both"/>
      </w:pPr>
      <w:r w:rsidRPr="00564A26">
        <w:t xml:space="preserve">Торги посредством публичного предложения проводятся </w:t>
      </w:r>
      <w:r w:rsidR="006A4546">
        <w:t>О</w:t>
      </w:r>
      <w:r w:rsidRPr="00564A26">
        <w:t xml:space="preserve">рганизатором торгов в соответствии с пунктом 4 статьи 139 Закона о банкротстве и гл. </w:t>
      </w:r>
      <w:r w:rsidRPr="00564A26">
        <w:rPr>
          <w:lang w:val="en-US"/>
        </w:rPr>
        <w:t>VI</w:t>
      </w:r>
      <w:r w:rsidRPr="00564A26">
        <w:t xml:space="preserve"> Приказа Минэкономразвития №</w:t>
      </w:r>
      <w:r w:rsidR="006A4546">
        <w:t xml:space="preserve"> </w:t>
      </w:r>
      <w:r w:rsidRPr="00564A26">
        <w:t>495 с особенностями</w:t>
      </w:r>
      <w:r>
        <w:t>,</w:t>
      </w:r>
      <w:r w:rsidRPr="00564A26">
        <w:t xml:space="preserve"> установленными настоящим </w:t>
      </w:r>
      <w:r>
        <w:t>П</w:t>
      </w:r>
      <w:r w:rsidRPr="00564A26">
        <w:t>оложением.</w:t>
      </w:r>
    </w:p>
    <w:p w:rsidR="00F63CE4" w:rsidRPr="00564A26" w:rsidRDefault="00F63CE4" w:rsidP="00F63CE4">
      <w:pPr>
        <w:pStyle w:val="a9"/>
        <w:numPr>
          <w:ilvl w:val="1"/>
          <w:numId w:val="9"/>
        </w:numPr>
        <w:spacing w:before="120" w:after="120" w:line="276" w:lineRule="auto"/>
        <w:ind w:left="0" w:hanging="7"/>
        <w:jc w:val="both"/>
      </w:pPr>
      <w:r>
        <w:t>П</w:t>
      </w:r>
      <w:r w:rsidRPr="005E2EFB">
        <w:t>убликация сообщения о проведении торгов по продаже Имущества посредством публичного предложения должна быть осуществлена в течение не более 14 (четырнадцати) календарных дней после истечения срока, предусмотренного п.4.1 ст. 138 Закона о банкротстве;</w:t>
      </w:r>
    </w:p>
    <w:p w:rsidR="00F63CE4" w:rsidRDefault="00F63CE4" w:rsidP="00F63CE4">
      <w:pPr>
        <w:pStyle w:val="a9"/>
        <w:numPr>
          <w:ilvl w:val="1"/>
          <w:numId w:val="9"/>
        </w:numPr>
        <w:spacing w:before="120" w:after="120" w:line="276" w:lineRule="auto"/>
        <w:ind w:left="0" w:hanging="7"/>
        <w:jc w:val="both"/>
      </w:pPr>
      <w:r w:rsidRPr="00564A26">
        <w:t>Начальная цена продажи Имущества на торгах</w:t>
      </w:r>
      <w:r>
        <w:t>, проводимых посредством</w:t>
      </w:r>
      <w:r w:rsidRPr="00564A26">
        <w:t xml:space="preserve"> публичного предложения</w:t>
      </w:r>
      <w:r>
        <w:t>,</w:t>
      </w:r>
      <w:r w:rsidRPr="00564A26">
        <w:t xml:space="preserve"> устанавливается равной начальной цене продажи </w:t>
      </w:r>
      <w:r>
        <w:t xml:space="preserve">Имущества </w:t>
      </w:r>
      <w:r w:rsidRPr="00564A26">
        <w:t>на повторных торгах.</w:t>
      </w:r>
    </w:p>
    <w:p w:rsidR="00F63CE4" w:rsidRDefault="00F63CE4" w:rsidP="00F63CE4">
      <w:pPr>
        <w:pStyle w:val="a9"/>
        <w:numPr>
          <w:ilvl w:val="1"/>
          <w:numId w:val="9"/>
        </w:numPr>
        <w:spacing w:before="120" w:after="120" w:line="276" w:lineRule="auto"/>
        <w:ind w:left="0" w:hanging="7"/>
        <w:jc w:val="both"/>
      </w:pPr>
      <w:r>
        <w:t>Продажа Имущества посредством публичного предложения осуществляется путем последовательного снижения начальной цены продажи Имущества (</w:t>
      </w:r>
      <w:r w:rsidR="001140A9">
        <w:t>Ш</w:t>
      </w:r>
      <w:r>
        <w:t>аг снижения цены), установленной для определенного периода проведения торгов (период снижения цены).</w:t>
      </w:r>
    </w:p>
    <w:p w:rsidR="00F63CE4" w:rsidRPr="00C37126" w:rsidRDefault="00F63CE4" w:rsidP="00F63CE4">
      <w:pPr>
        <w:pStyle w:val="a9"/>
        <w:numPr>
          <w:ilvl w:val="1"/>
          <w:numId w:val="9"/>
        </w:numPr>
        <w:spacing w:before="120" w:after="120" w:line="276" w:lineRule="auto"/>
        <w:ind w:left="0" w:hanging="7"/>
        <w:jc w:val="both"/>
      </w:pPr>
      <w:r w:rsidRPr="00C37126">
        <w:t>Прием заявок на участие в торгах посредством публичного предложения прекращается в случае:</w:t>
      </w:r>
    </w:p>
    <w:p w:rsidR="00F63CE4" w:rsidRPr="003C7761" w:rsidRDefault="00F63CE4" w:rsidP="00F63CE4">
      <w:pPr>
        <w:ind w:hanging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66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666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мущества участник</w:t>
      </w: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66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торгов,</w:t>
      </w: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предложившим цену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</w:t>
      </w: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ниже начальной цены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продажи</w:t>
      </w: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установленной для определенного периода проведения торгов, при отсутствии предложений других участников торгов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63CE4" w:rsidRPr="003C7761" w:rsidRDefault="00F63CE4" w:rsidP="00F63CE4">
      <w:pPr>
        <w:ind w:hanging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66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666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мущества участник</w:t>
      </w: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66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торгов, </w:t>
      </w: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предложившим максимальную цену </w:t>
      </w:r>
      <w:r w:rsidRPr="00366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666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мущества, установленн</w:t>
      </w: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366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определенного периода проведения торгов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66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3CE4" w:rsidRPr="003666C9" w:rsidRDefault="00F63CE4" w:rsidP="00F63CE4">
      <w:pPr>
        <w:ind w:hanging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66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666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мущества участник</w:t>
      </w: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66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</w:t>
      </w: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первым подавшим заявку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равенства предложений о цене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мущества, </w:t>
      </w:r>
      <w:r w:rsidRPr="003666C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</w:t>
      </w: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66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определенного периода проведения торгов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66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3CE4" w:rsidRDefault="00F63CE4" w:rsidP="00F63CE4">
      <w:pPr>
        <w:ind w:hanging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достижения </w:t>
      </w:r>
      <w:r w:rsidR="001140A9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C3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ены отсечения </w:t>
      </w: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предложений других участник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торгов по продаже Имущества </w:t>
      </w: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публичного предложения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3CE4" w:rsidRPr="00C37126" w:rsidRDefault="00F63CE4" w:rsidP="00F63CE4">
      <w:pPr>
        <w:ind w:hanging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предусмотренном п.4.6 Положения.</w:t>
      </w:r>
    </w:p>
    <w:p w:rsidR="00F63CE4" w:rsidRPr="00564A26" w:rsidRDefault="00F63CE4" w:rsidP="00F63CE4">
      <w:pPr>
        <w:pStyle w:val="a9"/>
        <w:numPr>
          <w:ilvl w:val="1"/>
          <w:numId w:val="9"/>
        </w:numPr>
        <w:spacing w:before="120" w:after="120" w:line="276" w:lineRule="auto"/>
        <w:ind w:left="0" w:hanging="7"/>
        <w:jc w:val="both"/>
      </w:pPr>
      <w:r w:rsidRPr="00564A26">
        <w:t xml:space="preserve">Конкурсный кредитор вправе оставить </w:t>
      </w:r>
      <w:r>
        <w:t xml:space="preserve">Имущество </w:t>
      </w:r>
      <w:r w:rsidRPr="00564A26">
        <w:t xml:space="preserve">за собой в ходе торгов по продаже </w:t>
      </w:r>
      <w:r>
        <w:t>И</w:t>
      </w:r>
      <w:r w:rsidRPr="00564A26">
        <w:t xml:space="preserve">мущества посредством публичного предложения на любом этапе снижения цены </w:t>
      </w:r>
      <w:r>
        <w:t>И</w:t>
      </w:r>
      <w:r w:rsidRPr="00564A26">
        <w:t xml:space="preserve">мущества при отсутствии заявок на участие в торгах по цене, установленной для этого этапа снижения цены </w:t>
      </w:r>
      <w:r>
        <w:t>И</w:t>
      </w:r>
      <w:r w:rsidRPr="00564A26">
        <w:t>мущества.</w:t>
      </w:r>
    </w:p>
    <w:p w:rsidR="00F63CE4" w:rsidRDefault="00F63CE4" w:rsidP="00F63CE4">
      <w:pPr>
        <w:pStyle w:val="a9"/>
        <w:numPr>
          <w:ilvl w:val="1"/>
          <w:numId w:val="9"/>
        </w:numPr>
        <w:ind w:left="0" w:hanging="7"/>
        <w:jc w:val="both"/>
      </w:pPr>
      <w:r w:rsidRPr="00564A26">
        <w:t xml:space="preserve">В случае </w:t>
      </w:r>
      <w:r>
        <w:t xml:space="preserve">если Имущество Должника не было реализовано до </w:t>
      </w:r>
      <w:r w:rsidRPr="00675F7D">
        <w:t xml:space="preserve">достижения </w:t>
      </w:r>
      <w:r w:rsidR="001140A9">
        <w:t>Ц</w:t>
      </w:r>
      <w:r w:rsidRPr="00675F7D">
        <w:t xml:space="preserve">ены отсечения </w:t>
      </w:r>
      <w:r>
        <w:t xml:space="preserve">ввиду </w:t>
      </w:r>
      <w:r w:rsidRPr="00675F7D">
        <w:t>отсутстви</w:t>
      </w:r>
      <w:r>
        <w:t>я</w:t>
      </w:r>
      <w:r w:rsidRPr="00675F7D">
        <w:t xml:space="preserve"> предложений участников торгов</w:t>
      </w:r>
      <w:r w:rsidRPr="00564A26">
        <w:t xml:space="preserve">, </w:t>
      </w:r>
      <w:r w:rsidRPr="00625AD5">
        <w:t>Конкурсный кредитор</w:t>
      </w:r>
      <w:r w:rsidRPr="00564A26">
        <w:t xml:space="preserve"> с целью дальнейшей реализации </w:t>
      </w:r>
      <w:r>
        <w:t>И</w:t>
      </w:r>
      <w:r w:rsidRPr="00564A26">
        <w:t xml:space="preserve">мущества вправе внести изменения в Положение, </w:t>
      </w:r>
      <w:r w:rsidRPr="00675F7D">
        <w:rPr>
          <w:color w:val="000000" w:themeColor="text1"/>
        </w:rPr>
        <w:t xml:space="preserve">в том числе в виде снижения </w:t>
      </w:r>
      <w:r w:rsidR="001140A9">
        <w:rPr>
          <w:color w:val="000000" w:themeColor="text1"/>
        </w:rPr>
        <w:t>Ц</w:t>
      </w:r>
      <w:r w:rsidRPr="00675F7D">
        <w:rPr>
          <w:color w:val="000000" w:themeColor="text1"/>
        </w:rPr>
        <w:t>ены отсечения и</w:t>
      </w:r>
      <w:r>
        <w:rPr>
          <w:color w:val="000000" w:themeColor="text1"/>
        </w:rPr>
        <w:t>(или)</w:t>
      </w:r>
      <w:r w:rsidRPr="00675F7D">
        <w:rPr>
          <w:color w:val="000000" w:themeColor="text1"/>
        </w:rPr>
        <w:t xml:space="preserve"> продления сроков продажи Имущества Должника, и</w:t>
      </w:r>
      <w:r>
        <w:rPr>
          <w:color w:val="000000" w:themeColor="text1"/>
        </w:rPr>
        <w:t>(или)</w:t>
      </w:r>
      <w:r w:rsidRPr="00675F7D">
        <w:rPr>
          <w:color w:val="000000" w:themeColor="text1"/>
        </w:rPr>
        <w:t xml:space="preserve"> изменения периодов </w:t>
      </w:r>
      <w:r>
        <w:rPr>
          <w:color w:val="000000" w:themeColor="text1"/>
        </w:rPr>
        <w:t>снижения цены</w:t>
      </w:r>
      <w:r w:rsidRPr="00675F7D">
        <w:rPr>
          <w:color w:val="000000" w:themeColor="text1"/>
        </w:rPr>
        <w:t>, и</w:t>
      </w:r>
      <w:r>
        <w:rPr>
          <w:color w:val="000000" w:themeColor="text1"/>
        </w:rPr>
        <w:t>(</w:t>
      </w:r>
      <w:r w:rsidRPr="00675F7D">
        <w:rPr>
          <w:color w:val="000000" w:themeColor="text1"/>
        </w:rPr>
        <w:t>или</w:t>
      </w:r>
      <w:r>
        <w:rPr>
          <w:color w:val="000000" w:themeColor="text1"/>
        </w:rPr>
        <w:t>)</w:t>
      </w:r>
      <w:r w:rsidRPr="00675F7D">
        <w:rPr>
          <w:color w:val="000000" w:themeColor="text1"/>
        </w:rPr>
        <w:t xml:space="preserve"> дробления или объединения лотов и т.п. Конкурсный кредитор вправе вносить любые иные изменения, направленные на реализацию </w:t>
      </w:r>
      <w:r>
        <w:rPr>
          <w:color w:val="000000" w:themeColor="text1"/>
        </w:rPr>
        <w:t xml:space="preserve">Имущества, в порядке, предусмотренном </w:t>
      </w:r>
      <w:r w:rsidR="00ED109F">
        <w:t>п.1.9.3 Положения.</w:t>
      </w:r>
    </w:p>
    <w:p w:rsidR="00F63CE4" w:rsidRPr="00564A26" w:rsidRDefault="00F63CE4" w:rsidP="00F63CE4">
      <w:pPr>
        <w:pStyle w:val="a9"/>
        <w:ind w:left="0" w:hanging="7"/>
        <w:jc w:val="both"/>
      </w:pPr>
    </w:p>
    <w:p w:rsidR="00F63CE4" w:rsidRPr="00330F10" w:rsidRDefault="00F63CE4" w:rsidP="00F63CE4">
      <w:pPr>
        <w:pStyle w:val="HTML"/>
        <w:numPr>
          <w:ilvl w:val="0"/>
          <w:numId w:val="9"/>
        </w:numPr>
        <w:spacing w:before="120" w:after="120" w:line="276" w:lineRule="auto"/>
        <w:ind w:left="0" w:hanging="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F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 договора купли-продажи</w:t>
      </w:r>
    </w:p>
    <w:p w:rsidR="00F63CE4" w:rsidRPr="00564A26" w:rsidRDefault="00F63CE4" w:rsidP="00F63CE4">
      <w:pPr>
        <w:pStyle w:val="a9"/>
        <w:numPr>
          <w:ilvl w:val="1"/>
          <w:numId w:val="9"/>
        </w:numPr>
        <w:spacing w:before="120" w:after="120" w:line="276" w:lineRule="auto"/>
        <w:ind w:left="0" w:hanging="7"/>
        <w:jc w:val="both"/>
      </w:pPr>
      <w:r>
        <w:t>Финансовый</w:t>
      </w:r>
      <w:r w:rsidRPr="00564A26">
        <w:t xml:space="preserve"> управляющий заключает договор купли</w:t>
      </w:r>
      <w:r>
        <w:t>-</w:t>
      </w:r>
      <w:r w:rsidRPr="00564A26">
        <w:t>продажи с победителем торгов/участником торгов, предложившим наиболее высокую цену по сравнению с ценой, предложенной другими участниками</w:t>
      </w:r>
      <w:r>
        <w:t xml:space="preserve"> </w:t>
      </w:r>
      <w:r w:rsidRPr="00564A26">
        <w:t>торгов</w:t>
      </w:r>
      <w:r>
        <w:t>, в случае отказа или уклонения победителя торгов от подписания договора купли-продажи/единственным участником торгов,</w:t>
      </w:r>
      <w:r w:rsidRPr="00DC41FF">
        <w:t xml:space="preserve"> заявка которого на участие в торгах содержит предложение о цене </w:t>
      </w:r>
      <w:r>
        <w:t>Имущества</w:t>
      </w:r>
      <w:r w:rsidRPr="00DC41FF">
        <w:t xml:space="preserve"> не ниже установленной начальной цены продажи</w:t>
      </w:r>
      <w:r>
        <w:t>.</w:t>
      </w:r>
    </w:p>
    <w:p w:rsidR="00F63CE4" w:rsidRPr="00564A26" w:rsidRDefault="00F63CE4" w:rsidP="00F63CE4">
      <w:pPr>
        <w:pStyle w:val="a9"/>
        <w:numPr>
          <w:ilvl w:val="1"/>
          <w:numId w:val="9"/>
        </w:numPr>
        <w:spacing w:before="120" w:after="120" w:line="276" w:lineRule="auto"/>
        <w:ind w:left="0" w:hanging="7"/>
        <w:jc w:val="both"/>
      </w:pPr>
      <w:r w:rsidRPr="00564A26">
        <w:t>Расходы по регистрации перехода права собственности на Имущество несет покупатель.</w:t>
      </w:r>
      <w:bookmarkStart w:id="1" w:name="_Toc249932439"/>
      <w:bookmarkStart w:id="2" w:name="_Toc249932508"/>
      <w:bookmarkStart w:id="3" w:name="_Toc249932541"/>
      <w:bookmarkStart w:id="4" w:name="_Toc249932440"/>
      <w:bookmarkStart w:id="5" w:name="_Toc249932509"/>
      <w:bookmarkStart w:id="6" w:name="_Toc249932542"/>
      <w:bookmarkEnd w:id="1"/>
      <w:bookmarkEnd w:id="2"/>
      <w:bookmarkEnd w:id="3"/>
      <w:bookmarkEnd w:id="4"/>
      <w:bookmarkEnd w:id="5"/>
      <w:bookmarkEnd w:id="6"/>
      <w:r w:rsidRPr="00564A26">
        <w:t xml:space="preserve"> </w:t>
      </w:r>
    </w:p>
    <w:p w:rsidR="00F63CE4" w:rsidRPr="00564A26" w:rsidRDefault="00F63CE4" w:rsidP="00F63CE4">
      <w:pPr>
        <w:pStyle w:val="a9"/>
        <w:numPr>
          <w:ilvl w:val="1"/>
          <w:numId w:val="9"/>
        </w:numPr>
        <w:spacing w:before="120" w:after="120" w:line="276" w:lineRule="auto"/>
        <w:ind w:left="0" w:hanging="7"/>
        <w:jc w:val="both"/>
      </w:pPr>
      <w:r>
        <w:t>Финансовый</w:t>
      </w:r>
      <w:r w:rsidRPr="00564A26">
        <w:t xml:space="preserve"> управляющий обязан перечислить </w:t>
      </w:r>
      <w:r>
        <w:t xml:space="preserve">Конкурсному </w:t>
      </w:r>
      <w:r w:rsidRPr="00564A26">
        <w:t xml:space="preserve">кредитору денежные средства, вырученные от продажи </w:t>
      </w:r>
      <w:r>
        <w:t>Имущества, в размере, определенном пунктом 5 ст.213.27 Закона о банкротстве</w:t>
      </w:r>
      <w:r w:rsidRPr="00564A26">
        <w:t xml:space="preserve">, в течение 10 </w:t>
      </w:r>
      <w:r>
        <w:t xml:space="preserve">календарных </w:t>
      </w:r>
      <w:r w:rsidRPr="00564A26">
        <w:t xml:space="preserve">дней после </w:t>
      </w:r>
      <w:r>
        <w:t xml:space="preserve">поступления денежных средств на специальный счет Должника, указанный в п.1.7. </w:t>
      </w:r>
    </w:p>
    <w:p w:rsidR="00F63CE4" w:rsidRDefault="00F63CE4" w:rsidP="00F63CE4">
      <w:pPr>
        <w:pStyle w:val="a9"/>
        <w:numPr>
          <w:ilvl w:val="1"/>
          <w:numId w:val="9"/>
        </w:numPr>
        <w:spacing w:before="120" w:after="120" w:line="276" w:lineRule="auto"/>
        <w:ind w:left="0" w:hanging="7"/>
        <w:jc w:val="both"/>
      </w:pPr>
      <w:r w:rsidRPr="00564A26">
        <w:t xml:space="preserve">Передача </w:t>
      </w:r>
      <w:r>
        <w:t>И</w:t>
      </w:r>
      <w:r w:rsidRPr="00564A26">
        <w:t xml:space="preserve">мущества </w:t>
      </w:r>
      <w:r>
        <w:t xml:space="preserve">покупателю по договору купли-продажи согласно п.5.1. Положения/Конкурсному кредитору в случае оставления им Имущества за собой </w:t>
      </w:r>
      <w:r w:rsidRPr="00564A26">
        <w:t xml:space="preserve">осуществляется </w:t>
      </w:r>
      <w:r w:rsidR="004F543E">
        <w:t>Ф</w:t>
      </w:r>
      <w:r>
        <w:t>инансовым</w:t>
      </w:r>
      <w:r w:rsidRPr="00564A26">
        <w:t xml:space="preserve"> управляющим в сроки</w:t>
      </w:r>
      <w:r>
        <w:t>, установленные договором купли-продажи,</w:t>
      </w:r>
      <w:r w:rsidRPr="00564A26">
        <w:t xml:space="preserve"> по передаточному акту, подписываемому сторонами</w:t>
      </w:r>
      <w:r>
        <w:t xml:space="preserve"> договора купли-продажи.</w:t>
      </w:r>
    </w:p>
    <w:p w:rsidR="00F63CE4" w:rsidRPr="006012A3" w:rsidRDefault="00F63CE4" w:rsidP="00F63CE4">
      <w:pPr>
        <w:pStyle w:val="a9"/>
        <w:numPr>
          <w:ilvl w:val="0"/>
          <w:numId w:val="9"/>
        </w:numPr>
        <w:spacing w:before="120" w:after="120" w:line="276" w:lineRule="auto"/>
        <w:ind w:left="0" w:hanging="7"/>
        <w:rPr>
          <w:b/>
        </w:rPr>
      </w:pPr>
      <w:r>
        <w:rPr>
          <w:b/>
        </w:rPr>
        <w:t>Состав Имущества</w:t>
      </w:r>
    </w:p>
    <w:p w:rsidR="00F63CE4" w:rsidRDefault="00F63CE4" w:rsidP="00F63CE4">
      <w:pPr>
        <w:pStyle w:val="a9"/>
        <w:spacing w:before="120" w:after="120" w:line="276" w:lineRule="auto"/>
        <w:ind w:left="0" w:hanging="7"/>
        <w:jc w:val="both"/>
      </w:pPr>
      <w:r w:rsidRPr="00564A26">
        <w:t>Имущество реализ</w:t>
      </w:r>
      <w:r>
        <w:t>ует</w:t>
      </w:r>
      <w:r w:rsidRPr="00564A26">
        <w:t xml:space="preserve">ся в составе единого лота. Состав Лота утверждается </w:t>
      </w:r>
      <w:r>
        <w:t>Конкурсным</w:t>
      </w:r>
      <w:r w:rsidR="004F543E">
        <w:t xml:space="preserve"> кредиторо</w:t>
      </w:r>
      <w:r>
        <w:t>м</w:t>
      </w:r>
      <w:r w:rsidRPr="00564A26">
        <w:t xml:space="preserve">. Перечень и состав Лота указываются в Приложении № 1 к настоящему Положению (далее - «Перечень имущества Должника, </w:t>
      </w:r>
      <w:r>
        <w:t>реализуемого на торгах в банкротстве</w:t>
      </w:r>
      <w:r w:rsidRPr="00564A26">
        <w:t>»), которое является неотъемлемой частью</w:t>
      </w:r>
      <w:r>
        <w:t xml:space="preserve"> настоящего</w:t>
      </w:r>
      <w:r w:rsidRPr="00564A26">
        <w:t xml:space="preserve"> Положения</w:t>
      </w:r>
      <w:r>
        <w:t>.</w:t>
      </w:r>
    </w:p>
    <w:p w:rsidR="00E10F63" w:rsidRDefault="00E10F63" w:rsidP="00F63CE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10F63" w:rsidRDefault="00E10F63" w:rsidP="00F63CE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543E" w:rsidRDefault="004F543E" w:rsidP="00F63CE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543E" w:rsidRDefault="004F543E" w:rsidP="00F63CE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543E" w:rsidRDefault="004F543E" w:rsidP="00F63CE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543E" w:rsidRDefault="004F543E" w:rsidP="00F63CE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543E" w:rsidRDefault="004F543E" w:rsidP="00F63CE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543E" w:rsidRDefault="004F543E" w:rsidP="00F63CE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543E" w:rsidRDefault="004F543E" w:rsidP="00F63CE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543E" w:rsidRDefault="004F543E" w:rsidP="00F63CE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543E" w:rsidRDefault="004F543E" w:rsidP="00F63CE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6CA3" w:rsidRDefault="006D6CA3" w:rsidP="00F63CE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6CA3" w:rsidRDefault="006D6CA3" w:rsidP="00F63CE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6CA3" w:rsidRDefault="006D6CA3" w:rsidP="00F63CE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6CA3" w:rsidRDefault="006D6CA3" w:rsidP="00F63CE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543E" w:rsidRDefault="004F543E" w:rsidP="00F63CE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543E" w:rsidRDefault="004F543E" w:rsidP="00F63CE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4F543E" w:rsidSect="005E543C">
      <w:pgSz w:w="11906" w:h="16838"/>
      <w:pgMar w:top="709" w:right="707" w:bottom="1134" w:left="1701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E4A" w:rsidRDefault="00325E4A" w:rsidP="00EE4ECA">
      <w:pPr>
        <w:spacing w:after="0" w:line="240" w:lineRule="auto"/>
      </w:pPr>
      <w:r>
        <w:separator/>
      </w:r>
    </w:p>
  </w:endnote>
  <w:endnote w:type="continuationSeparator" w:id="0">
    <w:p w:rsidR="00325E4A" w:rsidRDefault="00325E4A" w:rsidP="00EE4ECA">
      <w:pPr>
        <w:spacing w:after="0" w:line="240" w:lineRule="auto"/>
      </w:pPr>
      <w:r>
        <w:continuationSeparator/>
      </w:r>
    </w:p>
  </w:endnote>
  <w:endnote w:type="continuationNotice" w:id="1">
    <w:p w:rsidR="00325E4A" w:rsidRDefault="00325E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DL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altName w:val="Times New Roman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edraSerifPro BookItalic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E4A" w:rsidRDefault="00325E4A" w:rsidP="00EE4ECA">
      <w:pPr>
        <w:spacing w:after="0" w:line="240" w:lineRule="auto"/>
      </w:pPr>
      <w:r>
        <w:separator/>
      </w:r>
    </w:p>
  </w:footnote>
  <w:footnote w:type="continuationSeparator" w:id="0">
    <w:p w:rsidR="00325E4A" w:rsidRDefault="00325E4A" w:rsidP="00EE4ECA">
      <w:pPr>
        <w:spacing w:after="0" w:line="240" w:lineRule="auto"/>
      </w:pPr>
      <w:r>
        <w:continuationSeparator/>
      </w:r>
    </w:p>
  </w:footnote>
  <w:footnote w:type="continuationNotice" w:id="1">
    <w:p w:rsidR="00325E4A" w:rsidRDefault="00325E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0B8A"/>
    <w:multiLevelType w:val="hybridMultilevel"/>
    <w:tmpl w:val="E9CE4ACC"/>
    <w:lvl w:ilvl="0" w:tplc="2F8C67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D34E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6B765D"/>
    <w:multiLevelType w:val="hybridMultilevel"/>
    <w:tmpl w:val="486E0E5C"/>
    <w:lvl w:ilvl="0" w:tplc="30860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186D2F"/>
    <w:multiLevelType w:val="hybridMultilevel"/>
    <w:tmpl w:val="FAAAE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452"/>
    <w:multiLevelType w:val="hybridMultilevel"/>
    <w:tmpl w:val="5712DB86"/>
    <w:lvl w:ilvl="0" w:tplc="27A674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5" w15:restartNumberingAfterBreak="0">
    <w:nsid w:val="3A965832"/>
    <w:multiLevelType w:val="hybridMultilevel"/>
    <w:tmpl w:val="86109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06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D3629C"/>
    <w:multiLevelType w:val="multilevel"/>
    <w:tmpl w:val="9CAAAE14"/>
    <w:lvl w:ilvl="0">
      <w:start w:val="1"/>
      <w:numFmt w:val="decimal"/>
      <w:lvlText w:val="%1."/>
      <w:lvlJc w:val="left"/>
      <w:pPr>
        <w:ind w:left="360" w:hanging="360"/>
      </w:pPr>
      <w:rPr>
        <w:rFonts w:ascii="Times" w:hAnsi="Times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" w:hAnsi="Time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" w:hAnsi="Time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" w:hAnsi="Time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" w:hAnsi="Time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" w:hAnsi="Times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" w:hAnsi="Times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" w:hAnsi="Times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" w:hAnsi="Times" w:hint="default"/>
      </w:rPr>
    </w:lvl>
  </w:abstractNum>
  <w:abstractNum w:abstractNumId="8" w15:restartNumberingAfterBreak="0">
    <w:nsid w:val="3F501A6F"/>
    <w:multiLevelType w:val="multilevel"/>
    <w:tmpl w:val="8B9C84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865A7C"/>
    <w:multiLevelType w:val="hybridMultilevel"/>
    <w:tmpl w:val="6ACC7360"/>
    <w:lvl w:ilvl="0" w:tplc="19682A1A">
      <w:start w:val="1"/>
      <w:numFmt w:val="decimal"/>
      <w:lvlText w:val="%1."/>
      <w:lvlJc w:val="left"/>
      <w:pPr>
        <w:ind w:left="900" w:hanging="360"/>
      </w:pPr>
      <w:rPr>
        <w:rFonts w:ascii="Consolas" w:eastAsiaTheme="minorHAnsi" w:hAnsi="Consolas"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84C432D"/>
    <w:multiLevelType w:val="hybridMultilevel"/>
    <w:tmpl w:val="68EC8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A5C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9837A0"/>
    <w:multiLevelType w:val="multilevel"/>
    <w:tmpl w:val="4EA0B8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B192026"/>
    <w:multiLevelType w:val="hybridMultilevel"/>
    <w:tmpl w:val="C026183C"/>
    <w:lvl w:ilvl="0" w:tplc="64C44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37F85"/>
    <w:multiLevelType w:val="hybridMultilevel"/>
    <w:tmpl w:val="7DF8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15E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9BD2B60"/>
    <w:multiLevelType w:val="hybridMultilevel"/>
    <w:tmpl w:val="94421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7"/>
  </w:num>
  <w:num w:numId="5">
    <w:abstractNumId w:val="3"/>
  </w:num>
  <w:num w:numId="6">
    <w:abstractNumId w:val="9"/>
  </w:num>
  <w:num w:numId="7">
    <w:abstractNumId w:val="10"/>
  </w:num>
  <w:num w:numId="8">
    <w:abstractNumId w:val="2"/>
  </w:num>
  <w:num w:numId="9">
    <w:abstractNumId w:val="15"/>
  </w:num>
  <w:num w:numId="10">
    <w:abstractNumId w:val="4"/>
  </w:num>
  <w:num w:numId="11">
    <w:abstractNumId w:val="16"/>
  </w:num>
  <w:num w:numId="12">
    <w:abstractNumId w:val="13"/>
  </w:num>
  <w:num w:numId="13">
    <w:abstractNumId w:val="0"/>
  </w:num>
  <w:num w:numId="14">
    <w:abstractNumId w:val="6"/>
  </w:num>
  <w:num w:numId="15">
    <w:abstractNumId w:val="1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65"/>
    <w:rsid w:val="0000548B"/>
    <w:rsid w:val="000225F9"/>
    <w:rsid w:val="00034334"/>
    <w:rsid w:val="00037A82"/>
    <w:rsid w:val="000453C8"/>
    <w:rsid w:val="00046526"/>
    <w:rsid w:val="00053547"/>
    <w:rsid w:val="000609E7"/>
    <w:rsid w:val="00063CC0"/>
    <w:rsid w:val="000778C1"/>
    <w:rsid w:val="000810E6"/>
    <w:rsid w:val="000B076F"/>
    <w:rsid w:val="000B08C9"/>
    <w:rsid w:val="000B40D0"/>
    <w:rsid w:val="000C4124"/>
    <w:rsid w:val="000D17CA"/>
    <w:rsid w:val="000E1CA2"/>
    <w:rsid w:val="000E6BF8"/>
    <w:rsid w:val="000E70A2"/>
    <w:rsid w:val="001140A9"/>
    <w:rsid w:val="00121034"/>
    <w:rsid w:val="00135F37"/>
    <w:rsid w:val="001470B5"/>
    <w:rsid w:val="00152873"/>
    <w:rsid w:val="00155D49"/>
    <w:rsid w:val="0015780D"/>
    <w:rsid w:val="00162BCB"/>
    <w:rsid w:val="00163F3F"/>
    <w:rsid w:val="001766EE"/>
    <w:rsid w:val="00177473"/>
    <w:rsid w:val="00180AFC"/>
    <w:rsid w:val="00187F4D"/>
    <w:rsid w:val="001A33F1"/>
    <w:rsid w:val="001C7B30"/>
    <w:rsid w:val="001D2FEE"/>
    <w:rsid w:val="001E121C"/>
    <w:rsid w:val="001E6AD5"/>
    <w:rsid w:val="001F1B87"/>
    <w:rsid w:val="00201539"/>
    <w:rsid w:val="00202653"/>
    <w:rsid w:val="00207ED2"/>
    <w:rsid w:val="002135C3"/>
    <w:rsid w:val="002160DE"/>
    <w:rsid w:val="00222E2B"/>
    <w:rsid w:val="00254CE6"/>
    <w:rsid w:val="0025704A"/>
    <w:rsid w:val="0026056E"/>
    <w:rsid w:val="00272DA5"/>
    <w:rsid w:val="00297431"/>
    <w:rsid w:val="002B069C"/>
    <w:rsid w:val="002C6B5F"/>
    <w:rsid w:val="002D2EED"/>
    <w:rsid w:val="002D3D95"/>
    <w:rsid w:val="002F4CE6"/>
    <w:rsid w:val="002F6ECC"/>
    <w:rsid w:val="00301253"/>
    <w:rsid w:val="00307EBC"/>
    <w:rsid w:val="003110DC"/>
    <w:rsid w:val="00325E4A"/>
    <w:rsid w:val="00330D04"/>
    <w:rsid w:val="00330F10"/>
    <w:rsid w:val="003446A1"/>
    <w:rsid w:val="003558EE"/>
    <w:rsid w:val="0035634B"/>
    <w:rsid w:val="003666C9"/>
    <w:rsid w:val="00373973"/>
    <w:rsid w:val="00381479"/>
    <w:rsid w:val="003820AE"/>
    <w:rsid w:val="00386F24"/>
    <w:rsid w:val="003918BD"/>
    <w:rsid w:val="003B65A8"/>
    <w:rsid w:val="003C7761"/>
    <w:rsid w:val="003D494F"/>
    <w:rsid w:val="003E4D8C"/>
    <w:rsid w:val="003E6704"/>
    <w:rsid w:val="003E6EA7"/>
    <w:rsid w:val="003F1D32"/>
    <w:rsid w:val="00400490"/>
    <w:rsid w:val="00407B97"/>
    <w:rsid w:val="00430DAB"/>
    <w:rsid w:val="00471647"/>
    <w:rsid w:val="00471EAD"/>
    <w:rsid w:val="004725D0"/>
    <w:rsid w:val="00475222"/>
    <w:rsid w:val="0048264E"/>
    <w:rsid w:val="00482E44"/>
    <w:rsid w:val="0049362B"/>
    <w:rsid w:val="004D512C"/>
    <w:rsid w:val="004E1063"/>
    <w:rsid w:val="004E148B"/>
    <w:rsid w:val="004E4B18"/>
    <w:rsid w:val="004E56D6"/>
    <w:rsid w:val="004F5142"/>
    <w:rsid w:val="004F543E"/>
    <w:rsid w:val="004F5944"/>
    <w:rsid w:val="00506BD9"/>
    <w:rsid w:val="00507995"/>
    <w:rsid w:val="0051798C"/>
    <w:rsid w:val="00520BC9"/>
    <w:rsid w:val="00525DE2"/>
    <w:rsid w:val="0053588B"/>
    <w:rsid w:val="00540A3C"/>
    <w:rsid w:val="005434AF"/>
    <w:rsid w:val="005517E0"/>
    <w:rsid w:val="00561864"/>
    <w:rsid w:val="00564A26"/>
    <w:rsid w:val="00565001"/>
    <w:rsid w:val="00574F18"/>
    <w:rsid w:val="0058270D"/>
    <w:rsid w:val="005827D2"/>
    <w:rsid w:val="00585759"/>
    <w:rsid w:val="00590978"/>
    <w:rsid w:val="005961F2"/>
    <w:rsid w:val="005C22C9"/>
    <w:rsid w:val="005D033C"/>
    <w:rsid w:val="005E0268"/>
    <w:rsid w:val="005E2EFB"/>
    <w:rsid w:val="005E543C"/>
    <w:rsid w:val="005E58C4"/>
    <w:rsid w:val="005F0C62"/>
    <w:rsid w:val="006012A3"/>
    <w:rsid w:val="00605DE7"/>
    <w:rsid w:val="006132B4"/>
    <w:rsid w:val="006244A7"/>
    <w:rsid w:val="00625AD5"/>
    <w:rsid w:val="006269EC"/>
    <w:rsid w:val="0063386B"/>
    <w:rsid w:val="00635CB1"/>
    <w:rsid w:val="0063776E"/>
    <w:rsid w:val="006401EF"/>
    <w:rsid w:val="00641A6E"/>
    <w:rsid w:val="00645387"/>
    <w:rsid w:val="006671A9"/>
    <w:rsid w:val="0067184B"/>
    <w:rsid w:val="00674423"/>
    <w:rsid w:val="00675F7D"/>
    <w:rsid w:val="0068340C"/>
    <w:rsid w:val="00691342"/>
    <w:rsid w:val="0069143C"/>
    <w:rsid w:val="006927A7"/>
    <w:rsid w:val="00697710"/>
    <w:rsid w:val="006A18C3"/>
    <w:rsid w:val="006A4546"/>
    <w:rsid w:val="006A4735"/>
    <w:rsid w:val="006B0157"/>
    <w:rsid w:val="006B5BD7"/>
    <w:rsid w:val="006B7D8B"/>
    <w:rsid w:val="006D1BDC"/>
    <w:rsid w:val="006D236A"/>
    <w:rsid w:val="006D6CA3"/>
    <w:rsid w:val="006E18F7"/>
    <w:rsid w:val="006E30FE"/>
    <w:rsid w:val="00701652"/>
    <w:rsid w:val="00703979"/>
    <w:rsid w:val="00717985"/>
    <w:rsid w:val="00723E0B"/>
    <w:rsid w:val="00732E4B"/>
    <w:rsid w:val="0073626A"/>
    <w:rsid w:val="00747B5E"/>
    <w:rsid w:val="007574B1"/>
    <w:rsid w:val="007601AC"/>
    <w:rsid w:val="007627D7"/>
    <w:rsid w:val="00765746"/>
    <w:rsid w:val="00772F0A"/>
    <w:rsid w:val="00773A49"/>
    <w:rsid w:val="0077704B"/>
    <w:rsid w:val="00781D82"/>
    <w:rsid w:val="007837A6"/>
    <w:rsid w:val="00797425"/>
    <w:rsid w:val="007A509B"/>
    <w:rsid w:val="007A6DFF"/>
    <w:rsid w:val="007B6079"/>
    <w:rsid w:val="007C142F"/>
    <w:rsid w:val="007D387F"/>
    <w:rsid w:val="007D5047"/>
    <w:rsid w:val="007E7008"/>
    <w:rsid w:val="00812D38"/>
    <w:rsid w:val="00815F1B"/>
    <w:rsid w:val="00823FA3"/>
    <w:rsid w:val="00824BF8"/>
    <w:rsid w:val="00827B7A"/>
    <w:rsid w:val="00830A44"/>
    <w:rsid w:val="00840BC0"/>
    <w:rsid w:val="00845B4F"/>
    <w:rsid w:val="008538A9"/>
    <w:rsid w:val="00857484"/>
    <w:rsid w:val="00862C73"/>
    <w:rsid w:val="008744BB"/>
    <w:rsid w:val="00881243"/>
    <w:rsid w:val="00897279"/>
    <w:rsid w:val="008A21F9"/>
    <w:rsid w:val="008A660A"/>
    <w:rsid w:val="008C1374"/>
    <w:rsid w:val="008D42DC"/>
    <w:rsid w:val="00902464"/>
    <w:rsid w:val="00912659"/>
    <w:rsid w:val="00921564"/>
    <w:rsid w:val="009350FE"/>
    <w:rsid w:val="00941893"/>
    <w:rsid w:val="00946AFC"/>
    <w:rsid w:val="00953AA2"/>
    <w:rsid w:val="00961F24"/>
    <w:rsid w:val="009662CE"/>
    <w:rsid w:val="009757AA"/>
    <w:rsid w:val="00977670"/>
    <w:rsid w:val="00977B1A"/>
    <w:rsid w:val="0099278E"/>
    <w:rsid w:val="00997571"/>
    <w:rsid w:val="00997C72"/>
    <w:rsid w:val="009A297E"/>
    <w:rsid w:val="009A6C4E"/>
    <w:rsid w:val="009A7BB7"/>
    <w:rsid w:val="009B1A2D"/>
    <w:rsid w:val="009B3992"/>
    <w:rsid w:val="009B5336"/>
    <w:rsid w:val="009C04C8"/>
    <w:rsid w:val="009D0BA4"/>
    <w:rsid w:val="009E2E95"/>
    <w:rsid w:val="009F38E5"/>
    <w:rsid w:val="00A00175"/>
    <w:rsid w:val="00A00EA6"/>
    <w:rsid w:val="00A11811"/>
    <w:rsid w:val="00A11ADF"/>
    <w:rsid w:val="00A15F64"/>
    <w:rsid w:val="00A161E4"/>
    <w:rsid w:val="00A17444"/>
    <w:rsid w:val="00A23484"/>
    <w:rsid w:val="00A2465F"/>
    <w:rsid w:val="00A3222C"/>
    <w:rsid w:val="00A56ACD"/>
    <w:rsid w:val="00A8524F"/>
    <w:rsid w:val="00A939FF"/>
    <w:rsid w:val="00A953B9"/>
    <w:rsid w:val="00AA4F3A"/>
    <w:rsid w:val="00AA5D99"/>
    <w:rsid w:val="00AB39A0"/>
    <w:rsid w:val="00AF7E98"/>
    <w:rsid w:val="00B13055"/>
    <w:rsid w:val="00B1792B"/>
    <w:rsid w:val="00B26537"/>
    <w:rsid w:val="00B32065"/>
    <w:rsid w:val="00B35148"/>
    <w:rsid w:val="00B357F4"/>
    <w:rsid w:val="00B4206D"/>
    <w:rsid w:val="00B523DB"/>
    <w:rsid w:val="00B6066B"/>
    <w:rsid w:val="00B61760"/>
    <w:rsid w:val="00B62FEC"/>
    <w:rsid w:val="00B6519F"/>
    <w:rsid w:val="00B670B4"/>
    <w:rsid w:val="00B91D73"/>
    <w:rsid w:val="00B972B0"/>
    <w:rsid w:val="00BD3026"/>
    <w:rsid w:val="00BD3FE4"/>
    <w:rsid w:val="00BF06B6"/>
    <w:rsid w:val="00BF083A"/>
    <w:rsid w:val="00BF1DBD"/>
    <w:rsid w:val="00BF2C54"/>
    <w:rsid w:val="00BF3986"/>
    <w:rsid w:val="00BF3E2A"/>
    <w:rsid w:val="00C03A4A"/>
    <w:rsid w:val="00C15E78"/>
    <w:rsid w:val="00C32939"/>
    <w:rsid w:val="00C3393A"/>
    <w:rsid w:val="00C37126"/>
    <w:rsid w:val="00C37418"/>
    <w:rsid w:val="00C40C59"/>
    <w:rsid w:val="00C40CF3"/>
    <w:rsid w:val="00C5054C"/>
    <w:rsid w:val="00C54C41"/>
    <w:rsid w:val="00C74F76"/>
    <w:rsid w:val="00C77509"/>
    <w:rsid w:val="00C805C8"/>
    <w:rsid w:val="00C87E02"/>
    <w:rsid w:val="00C93C2F"/>
    <w:rsid w:val="00C93E33"/>
    <w:rsid w:val="00C959EB"/>
    <w:rsid w:val="00CA046E"/>
    <w:rsid w:val="00CA1AF8"/>
    <w:rsid w:val="00CA5B00"/>
    <w:rsid w:val="00CA6D86"/>
    <w:rsid w:val="00CB1346"/>
    <w:rsid w:val="00CB7A38"/>
    <w:rsid w:val="00CC17F3"/>
    <w:rsid w:val="00CD1C41"/>
    <w:rsid w:val="00CF14BF"/>
    <w:rsid w:val="00CF2720"/>
    <w:rsid w:val="00CF64FC"/>
    <w:rsid w:val="00D1447A"/>
    <w:rsid w:val="00D14970"/>
    <w:rsid w:val="00D1578F"/>
    <w:rsid w:val="00D22DFD"/>
    <w:rsid w:val="00D34749"/>
    <w:rsid w:val="00D36AF6"/>
    <w:rsid w:val="00D426B9"/>
    <w:rsid w:val="00D518DF"/>
    <w:rsid w:val="00D5246F"/>
    <w:rsid w:val="00D5502C"/>
    <w:rsid w:val="00D61045"/>
    <w:rsid w:val="00D616FA"/>
    <w:rsid w:val="00D620C8"/>
    <w:rsid w:val="00D72332"/>
    <w:rsid w:val="00D92B7E"/>
    <w:rsid w:val="00D95B60"/>
    <w:rsid w:val="00DB2AB4"/>
    <w:rsid w:val="00DB71F5"/>
    <w:rsid w:val="00DC2556"/>
    <w:rsid w:val="00DC41FF"/>
    <w:rsid w:val="00DD26EE"/>
    <w:rsid w:val="00DD5394"/>
    <w:rsid w:val="00DE1C0F"/>
    <w:rsid w:val="00DE2693"/>
    <w:rsid w:val="00DE48DA"/>
    <w:rsid w:val="00DE4AC7"/>
    <w:rsid w:val="00DF3311"/>
    <w:rsid w:val="00DF520A"/>
    <w:rsid w:val="00E0689D"/>
    <w:rsid w:val="00E10F63"/>
    <w:rsid w:val="00E15F18"/>
    <w:rsid w:val="00E17052"/>
    <w:rsid w:val="00E26DBE"/>
    <w:rsid w:val="00E27639"/>
    <w:rsid w:val="00E37EF1"/>
    <w:rsid w:val="00E41303"/>
    <w:rsid w:val="00E629A8"/>
    <w:rsid w:val="00E70A5F"/>
    <w:rsid w:val="00E74010"/>
    <w:rsid w:val="00E850F2"/>
    <w:rsid w:val="00E87DA6"/>
    <w:rsid w:val="00EA5328"/>
    <w:rsid w:val="00EB0A79"/>
    <w:rsid w:val="00EB4931"/>
    <w:rsid w:val="00EB70C0"/>
    <w:rsid w:val="00EC1D18"/>
    <w:rsid w:val="00EC4BFB"/>
    <w:rsid w:val="00ED0EFF"/>
    <w:rsid w:val="00ED109F"/>
    <w:rsid w:val="00EE4ECA"/>
    <w:rsid w:val="00EF4FCB"/>
    <w:rsid w:val="00EF7637"/>
    <w:rsid w:val="00F1760C"/>
    <w:rsid w:val="00F226CF"/>
    <w:rsid w:val="00F2776C"/>
    <w:rsid w:val="00F375EC"/>
    <w:rsid w:val="00F429C3"/>
    <w:rsid w:val="00F44021"/>
    <w:rsid w:val="00F477DD"/>
    <w:rsid w:val="00F55816"/>
    <w:rsid w:val="00F63CE4"/>
    <w:rsid w:val="00F767FC"/>
    <w:rsid w:val="00F802F1"/>
    <w:rsid w:val="00F869C1"/>
    <w:rsid w:val="00F93ED8"/>
    <w:rsid w:val="00F96E44"/>
    <w:rsid w:val="00FC2033"/>
    <w:rsid w:val="00FC5213"/>
    <w:rsid w:val="00FC61D2"/>
    <w:rsid w:val="00FF08E4"/>
    <w:rsid w:val="00FF1B68"/>
    <w:rsid w:val="00FF261C"/>
    <w:rsid w:val="00FF3BBF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2DFF85-3B74-4B8D-949B-92EFC4C7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4ECA"/>
  </w:style>
  <w:style w:type="paragraph" w:styleId="a5">
    <w:name w:val="footer"/>
    <w:basedOn w:val="a"/>
    <w:link w:val="a6"/>
    <w:uiPriority w:val="99"/>
    <w:unhideWhenUsed/>
    <w:rsid w:val="00EE4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4ECA"/>
  </w:style>
  <w:style w:type="character" w:customStyle="1" w:styleId="a7">
    <w:name w:val="Колонтитул_"/>
    <w:basedOn w:val="a0"/>
    <w:rsid w:val="00EE4ECA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Колонтитул"/>
    <w:basedOn w:val="a7"/>
    <w:rsid w:val="00EE4EC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9">
    <w:name w:val="List Paragraph"/>
    <w:aliases w:val="Абзац маркированнный,UL,Шаг процесса,Table-Normal,RSHB_Table-Normal,Предусловия,Bullet List,FooterText,numbered,List Paragraph,Абзац списка1,Bullet Number,Индексы,Num Bullet 1"/>
    <w:basedOn w:val="a"/>
    <w:link w:val="aa"/>
    <w:uiPriority w:val="34"/>
    <w:qFormat/>
    <w:rsid w:val="00EE4EC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List Paragraph Знак,Абзац списка1 Знак,Bullet Number Знак,Индексы Знак"/>
    <w:link w:val="a9"/>
    <w:uiPriority w:val="34"/>
    <w:locked/>
    <w:rsid w:val="00EE4E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b"/>
    <w:uiPriority w:val="59"/>
    <w:rsid w:val="00EE4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EE4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3820A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820AE"/>
    <w:pPr>
      <w:widowControl w:val="0"/>
      <w:shd w:val="clear" w:color="auto" w:fill="FFFFFF"/>
      <w:spacing w:before="360" w:after="240" w:line="274" w:lineRule="exact"/>
      <w:ind w:hanging="400"/>
    </w:pPr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382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820AE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525DE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5DE2"/>
    <w:rPr>
      <w:rFonts w:ascii="Consolas" w:hAnsi="Consolas"/>
      <w:sz w:val="20"/>
      <w:szCs w:val="20"/>
    </w:rPr>
  </w:style>
  <w:style w:type="character" w:customStyle="1" w:styleId="1">
    <w:name w:val="Заголовок №1_"/>
    <w:basedOn w:val="a0"/>
    <w:link w:val="10"/>
    <w:rsid w:val="00EB70C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EB70C0"/>
    <w:pPr>
      <w:widowControl w:val="0"/>
      <w:shd w:val="clear" w:color="auto" w:fill="FFFFFF"/>
      <w:spacing w:before="60" w:after="360" w:line="0" w:lineRule="atLeast"/>
      <w:outlineLvl w:val="0"/>
    </w:pPr>
    <w:rPr>
      <w:rFonts w:ascii="Times New Roman" w:eastAsia="Times New Roman" w:hAnsi="Times New Roman" w:cs="Times New Roman"/>
    </w:rPr>
  </w:style>
  <w:style w:type="character" w:styleId="ae">
    <w:name w:val="annotation reference"/>
    <w:basedOn w:val="a0"/>
    <w:uiPriority w:val="99"/>
    <w:semiHidden/>
    <w:unhideWhenUsed/>
    <w:rsid w:val="00A11811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A118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A1181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118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11811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semiHidden/>
    <w:unhideWhenUsed/>
    <w:rsid w:val="00A11811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11811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A11811"/>
    <w:rPr>
      <w:vertAlign w:val="superscript"/>
    </w:rPr>
  </w:style>
  <w:style w:type="paragraph" w:styleId="af6">
    <w:name w:val="Revision"/>
    <w:hidden/>
    <w:uiPriority w:val="99"/>
    <w:semiHidden/>
    <w:rsid w:val="00D72332"/>
    <w:pPr>
      <w:spacing w:after="0" w:line="240" w:lineRule="auto"/>
    </w:pPr>
  </w:style>
  <w:style w:type="character" w:styleId="af7">
    <w:name w:val="Hyperlink"/>
    <w:basedOn w:val="a0"/>
    <w:uiPriority w:val="99"/>
    <w:semiHidden/>
    <w:unhideWhenUsed/>
    <w:rsid w:val="00857484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540A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-da.ru/objects/252284-chastnyy-dom-kottedzh-chastnyy-dom-kottedzh-77-m-na-uchastke-641-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edconsultant.ca.sbrf.ru/cons/cgi/online.cgi?req=doc&amp;base=LAW&amp;n=389670&amp;dst=1082&amp;field=134&amp;date=08.10.20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edconsultant.ca.sbrf.ru/cons/cgi/online.cgi?req=doc&amp;base=LAW&amp;n=389670&amp;dst=1066&amp;field=134&amp;date=08.10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dconsultant.ca.sbrf.ru/cons/cgi/online.cgi?req=doc&amp;base=LAW&amp;n=389670&amp;dst=966&amp;field=134&amp;date=08.10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32C61-32AB-4B25-93D6-D733F24E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1675</TotalTime>
  <Pages>1</Pages>
  <Words>2096</Words>
  <Characters>11949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14017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Азамат Василович</dc:creator>
  <cp:keywords/>
  <dc:description/>
  <cp:lastModifiedBy>Павлик Анна Александровна</cp:lastModifiedBy>
  <cp:revision>4</cp:revision>
  <cp:lastPrinted>2023-04-12T11:17:00Z</cp:lastPrinted>
  <dcterms:created xsi:type="dcterms:W3CDTF">2023-11-24T10:21:00Z</dcterms:created>
  <dcterms:modified xsi:type="dcterms:W3CDTF">2025-05-28T12:35:00Z</dcterms:modified>
</cp:coreProperties>
</file>