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14:paraId="111E541C" w14:textId="77777777">
        <w:tc>
          <w:tcPr>
            <w:tcW w:w="9355" w:type="dxa"/>
          </w:tcPr>
          <w:p w14:paraId="5E738767" w14:textId="77777777" w:rsidR="00065321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3EC29E7" wp14:editId="6610495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20.2pt;mso-position-horizontal:absolute;mso-position-vertical-relative:text;margin-top:-22.6pt;mso-position-vertical:absolute;width:128.2pt;height:127.7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14:paraId="758A9AE9" w14:textId="77777777">
        <w:tc>
          <w:tcPr>
            <w:tcW w:w="9355" w:type="dxa"/>
          </w:tcPr>
          <w:p w14:paraId="538D79E8" w14:textId="77777777" w:rsidR="00065321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14:paraId="19FBF7FF" w14:textId="77777777">
        <w:tc>
          <w:tcPr>
            <w:tcW w:w="9355" w:type="dxa"/>
          </w:tcPr>
          <w:p w14:paraId="6165D07B" w14:textId="77777777" w:rsidR="00065321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14:paraId="40EC362A" w14:textId="77777777">
        <w:tc>
          <w:tcPr>
            <w:tcW w:w="9355" w:type="dxa"/>
          </w:tcPr>
          <w:p w14:paraId="7265A808" w14:textId="77777777" w:rsidR="00065321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14:paraId="45A5FFA8" w14:textId="77777777">
        <w:tc>
          <w:tcPr>
            <w:tcW w:w="9355" w:type="dxa"/>
          </w:tcPr>
          <w:p w14:paraId="40E6BB74" w14:textId="77777777" w:rsidR="00065321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Default="005C0162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14:paraId="18C5B558" w14:textId="77777777">
        <w:tc>
          <w:tcPr>
            <w:tcW w:w="9355" w:type="dxa"/>
          </w:tcPr>
          <w:p w14:paraId="0C4D9E7C" w14:textId="77777777" w:rsidR="00065321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4F6EFC" w14:paraId="41E52623" w14:textId="77777777">
        <w:trPr>
          <w:trHeight w:val="259"/>
        </w:trPr>
        <w:tc>
          <w:tcPr>
            <w:tcW w:w="9355" w:type="dxa"/>
          </w:tcPr>
          <w:p w14:paraId="73CAB094" w14:textId="1FB250A4" w:rsidR="004F6EFC" w:rsidRDefault="004F6EFC" w:rsidP="004F6EFC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2634E3">
              <w:rPr>
                <w:rFonts w:ascii="Verdana" w:hAnsi="Verdana"/>
                <w:b/>
                <w:bCs/>
                <w:sz w:val="14"/>
                <w:szCs w:val="14"/>
              </w:rPr>
              <w:t xml:space="preserve">191187, г. Санкт-Петербург, ул. Чайковского, д. 1, к. 2, лит. </w:t>
            </w:r>
            <w:r w:rsidRPr="002A1B07"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  <w:t>Б, оф. 204</w:t>
            </w:r>
          </w:p>
        </w:tc>
      </w:tr>
      <w:tr w:rsidR="004F6EFC" w:rsidRPr="00C50FD9" w14:paraId="61DC42AC" w14:textId="77777777">
        <w:trPr>
          <w:trHeight w:val="74"/>
        </w:trPr>
        <w:tc>
          <w:tcPr>
            <w:tcW w:w="9355" w:type="dxa"/>
          </w:tcPr>
          <w:p w14:paraId="0EF4D6AC" w14:textId="3A11B04A" w:rsidR="004F6EFC" w:rsidRDefault="004F6EFC" w:rsidP="004F6EFC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2A1B07">
              <w:rPr>
                <w:rFonts w:ascii="Verdana" w:hAnsi="Verdana"/>
                <w:sz w:val="14"/>
                <w:szCs w:val="14"/>
                <w:lang w:val="en-US"/>
              </w:rPr>
              <w:t xml:space="preserve">Тел.: (812) 927-45-06 E-mail: </w:t>
            </w:r>
            <w:hyperlink r:id="rId10" w:history="1">
              <w:r w:rsidRPr="002A1B07">
                <w:rPr>
                  <w:rFonts w:ascii="Verdana" w:eastAsia="Arial" w:hAnsi="Verdana"/>
                  <w:sz w:val="14"/>
                  <w:szCs w:val="14"/>
                  <w:lang w:val="en-US"/>
                </w:rPr>
                <w:t>bankrot@au.spb.ru</w:t>
              </w:r>
            </w:hyperlink>
          </w:p>
        </w:tc>
      </w:tr>
      <w:tr w:rsidR="00065321" w:rsidRPr="00C50FD9" w14:paraId="68EC4163" w14:textId="77777777">
        <w:tc>
          <w:tcPr>
            <w:tcW w:w="9355" w:type="dxa"/>
          </w:tcPr>
          <w:p w14:paraId="59F6B78B" w14:textId="77777777" w:rsidR="00065321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D7D08FA" w14:textId="77777777" w:rsidR="004F6EFC" w:rsidRDefault="004F6EFC" w:rsidP="004F6EFC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«___»______ 202__ г.</w:t>
      </w:r>
    </w:p>
    <w:p w14:paraId="082A56C7" w14:textId="77777777" w:rsidR="004F6EFC" w:rsidRPr="003A0282" w:rsidRDefault="004F6EFC" w:rsidP="004F6EFC">
      <w:pPr>
        <w:spacing w:before="120" w:after="120"/>
        <w:ind w:firstLine="540"/>
        <w:jc w:val="both"/>
        <w:rPr>
          <w:rFonts w:ascii="Verdana" w:hAnsi="Verdana"/>
          <w:sz w:val="18"/>
          <w:szCs w:val="18"/>
        </w:rPr>
      </w:pPr>
      <w:r w:rsidRPr="003A0282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№А56-110879/2023 Калайджян А.А. от 23.01.2024 гражданин </w:t>
      </w:r>
      <w:r w:rsidRPr="003A0282">
        <w:rPr>
          <w:rFonts w:ascii="Verdana" w:hAnsi="Verdana"/>
          <w:b/>
          <w:bCs/>
          <w:sz w:val="18"/>
          <w:szCs w:val="18"/>
        </w:rPr>
        <w:t>Козлова Галина Павловна</w:t>
      </w:r>
      <w:r w:rsidRPr="003A0282">
        <w:rPr>
          <w:rFonts w:ascii="Verdana" w:hAnsi="Verdana"/>
          <w:sz w:val="18"/>
          <w:szCs w:val="18"/>
        </w:rPr>
        <w:t>, 19.02.1948 г.р., уроженец гор. Перово Московской обл., адрес регистрации: 196070, г. Санкт-Петербург, ул. Варшавская, д. 60, лит. А, кв. 41, ИНН: 250801282844, СНИЛС: 04510063097)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5B4FBBAD" w14:textId="77777777" w:rsidR="004F6EFC" w:rsidRPr="003D50B1" w:rsidRDefault="004F6EFC" w:rsidP="004F6EFC">
      <w:pPr>
        <w:spacing w:before="120" w:after="120"/>
        <w:ind w:firstLine="540"/>
        <w:jc w:val="both"/>
        <w:rPr>
          <w:rFonts w:ascii="Verdana" w:hAnsi="Verdana"/>
          <w:sz w:val="18"/>
          <w:szCs w:val="18"/>
        </w:rPr>
      </w:pPr>
      <w:r w:rsidRPr="003A0282">
        <w:rPr>
          <w:rFonts w:ascii="Verdana" w:hAnsi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151-673-24052, адрес для направления корреспонденции финансовому управляющему: 191187, г. Санкт-Петербург, ул. Чайковского, д. 1, к. 2, лит. Б, оф. 204, телефон (812)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г. Ярославль, ул. Некрасова, д.39б, почтовый адрес Союза: 150000, Ярославская обл., г. Ярославль, а/я 1085)</w:t>
      </w:r>
      <w:r>
        <w:rPr>
          <w:rFonts w:ascii="Verdana" w:hAnsi="Verdana" w:cstheme="minorHAnsi"/>
          <w:sz w:val="18"/>
          <w:szCs w:val="18"/>
        </w:rPr>
        <w:t>.</w:t>
      </w:r>
    </w:p>
    <w:p w14:paraId="65B906C7" w14:textId="04875E23" w:rsidR="00065321" w:rsidRDefault="005C0162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0645F0EA" w14:textId="77777777" w:rsidR="00065321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4F51D006" w:rsidR="00065321" w:rsidRPr="004F6EFC" w:rsidRDefault="005C0162">
      <w:pPr>
        <w:spacing w:after="120" w:line="240" w:lineRule="auto"/>
        <w:ind w:firstLine="720"/>
        <w:jc w:val="both"/>
        <w:rPr>
          <w:rFonts w:ascii="Verdana" w:hAnsi="Verdana"/>
          <w:b/>
          <w:sz w:val="18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4F6EFC" w:rsidRPr="00B6558E">
        <w:rPr>
          <w:rFonts w:ascii="Verdana" w:hAnsi="Verdana"/>
          <w:b/>
          <w:sz w:val="18"/>
          <w:szCs w:val="18"/>
        </w:rPr>
        <w:t xml:space="preserve">Земельный участок общей площадью 1393, 0 кв.м., расположенный по адресу: </w:t>
      </w:r>
      <w:r w:rsidR="004F6EFC" w:rsidRPr="00B6558E">
        <w:rPr>
          <w:rFonts w:ascii="Verdana" w:hAnsi="Verdana"/>
          <w:b/>
          <w:sz w:val="18"/>
        </w:rPr>
        <w:t>692900, Россия, Приморский край, г. Находка, СНТ «Родничок», участок № 32</w:t>
      </w:r>
      <w:r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; </w:t>
      </w:r>
    </w:p>
    <w:p w14:paraId="31B3AA55" w14:textId="77777777" w:rsidR="00065321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77777777" w:rsidR="00065321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77777777" w:rsidR="00065321" w:rsidRDefault="005C0162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065321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  <w:bookmarkEnd w:id="0"/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A6549" w14:textId="77777777" w:rsidR="00F347E3" w:rsidRDefault="00F347E3">
      <w:pPr>
        <w:spacing w:after="0" w:line="240" w:lineRule="auto"/>
      </w:pPr>
      <w:r>
        <w:separator/>
      </w:r>
    </w:p>
  </w:endnote>
  <w:endnote w:type="continuationSeparator" w:id="0">
    <w:p w14:paraId="49CF397C" w14:textId="77777777" w:rsidR="00F347E3" w:rsidRDefault="00F3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CB275" w14:textId="77777777" w:rsidR="00F347E3" w:rsidRDefault="00F347E3">
      <w:pPr>
        <w:spacing w:after="0" w:line="240" w:lineRule="auto"/>
      </w:pPr>
      <w:r>
        <w:separator/>
      </w:r>
    </w:p>
  </w:footnote>
  <w:footnote w:type="continuationSeparator" w:id="0">
    <w:p w14:paraId="7B8F10DA" w14:textId="77777777" w:rsidR="00F347E3" w:rsidRDefault="00F3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776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4F6EFC"/>
    <w:rsid w:val="005C0162"/>
    <w:rsid w:val="009D09FC"/>
    <w:rsid w:val="00C50FD9"/>
    <w:rsid w:val="00C55F84"/>
    <w:rsid w:val="00DD50B8"/>
    <w:rsid w:val="00F3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ankrot@au.spb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2024-05-20T10:28:00Z</dcterms:created>
  <dcterms:modified xsi:type="dcterms:W3CDTF">2024-05-20T10:48:00Z</dcterms:modified>
</cp:coreProperties>
</file>