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B961E0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B961E0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3698EC1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C8CE6B5" w14:textId="77777777" w:rsidR="00B961E0" w:rsidRPr="00B961E0" w:rsidRDefault="00B961E0" w:rsidP="00B961E0">
      <w:pPr>
        <w:ind w:firstLine="709"/>
        <w:jc w:val="both"/>
        <w:rPr>
          <w:rFonts w:ascii="Verdana" w:hAnsi="Verdana"/>
          <w:sz w:val="18"/>
          <w:szCs w:val="18"/>
        </w:rPr>
      </w:pPr>
      <w:bookmarkStart w:id="0" w:name="_Hlk69401918"/>
      <w:proofErr w:type="spellStart"/>
      <w:r w:rsidRPr="00B961E0">
        <w:rPr>
          <w:rFonts w:ascii="Verdana" w:hAnsi="Verdana"/>
          <w:sz w:val="18"/>
          <w:szCs w:val="18"/>
        </w:rPr>
        <w:t>Решением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Арбитражного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суда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города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Санкт</w:t>
      </w:r>
      <w:proofErr w:type="spellEnd"/>
      <w:r w:rsidRPr="00B961E0">
        <w:rPr>
          <w:rFonts w:ascii="Verdana" w:hAnsi="Verdana"/>
          <w:sz w:val="18"/>
          <w:szCs w:val="18"/>
        </w:rPr>
        <w:t>-</w:t>
      </w:r>
      <w:proofErr w:type="spellStart"/>
      <w:r w:rsidRPr="00B961E0">
        <w:rPr>
          <w:rFonts w:ascii="Verdana" w:hAnsi="Verdana"/>
          <w:sz w:val="18"/>
          <w:szCs w:val="18"/>
        </w:rPr>
        <w:t>Петербурга</w:t>
      </w:r>
      <w:proofErr w:type="spellEnd"/>
      <w:r w:rsidRPr="00B961E0">
        <w:rPr>
          <w:rFonts w:ascii="Verdana" w:hAnsi="Verdana"/>
          <w:sz w:val="18"/>
          <w:szCs w:val="18"/>
        </w:rPr>
        <w:t xml:space="preserve"> и </w:t>
      </w:r>
      <w:proofErr w:type="spellStart"/>
      <w:r w:rsidRPr="00B961E0">
        <w:rPr>
          <w:rFonts w:ascii="Verdana" w:hAnsi="Verdana"/>
          <w:sz w:val="18"/>
          <w:szCs w:val="18"/>
        </w:rPr>
        <w:t>Ленинградской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области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по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b/>
          <w:bCs/>
          <w:sz w:val="18"/>
          <w:szCs w:val="18"/>
        </w:rPr>
        <w:t>делу</w:t>
      </w:r>
      <w:proofErr w:type="spellEnd"/>
      <w:r w:rsidRPr="00B961E0">
        <w:rPr>
          <w:rFonts w:ascii="Verdana" w:hAnsi="Verdana"/>
          <w:b/>
          <w:bCs/>
          <w:sz w:val="18"/>
          <w:szCs w:val="18"/>
        </w:rPr>
        <w:t xml:space="preserve"> №А56-1568/2024 </w:t>
      </w:r>
      <w:proofErr w:type="spellStart"/>
      <w:r w:rsidRPr="00B961E0">
        <w:rPr>
          <w:rFonts w:ascii="Verdana" w:hAnsi="Verdana"/>
          <w:b/>
          <w:bCs/>
          <w:sz w:val="18"/>
          <w:szCs w:val="18"/>
        </w:rPr>
        <w:t>Шведов</w:t>
      </w:r>
      <w:proofErr w:type="spellEnd"/>
      <w:r w:rsidRPr="00B961E0">
        <w:rPr>
          <w:rFonts w:ascii="Verdana" w:hAnsi="Verdana"/>
          <w:b/>
          <w:bCs/>
          <w:sz w:val="18"/>
          <w:szCs w:val="18"/>
        </w:rPr>
        <w:t xml:space="preserve"> А.А</w:t>
      </w:r>
      <w:r w:rsidRPr="00B961E0">
        <w:rPr>
          <w:rFonts w:ascii="Verdana" w:hAnsi="Verdana"/>
          <w:sz w:val="18"/>
          <w:szCs w:val="18"/>
        </w:rPr>
        <w:t xml:space="preserve">. </w:t>
      </w:r>
      <w:proofErr w:type="spellStart"/>
      <w:r w:rsidRPr="00B961E0">
        <w:rPr>
          <w:rFonts w:ascii="Verdana" w:hAnsi="Verdana"/>
          <w:sz w:val="18"/>
          <w:szCs w:val="18"/>
        </w:rPr>
        <w:t>от</w:t>
      </w:r>
      <w:proofErr w:type="spellEnd"/>
      <w:r w:rsidRPr="00B961E0">
        <w:rPr>
          <w:rFonts w:ascii="Verdana" w:hAnsi="Verdana"/>
          <w:sz w:val="18"/>
          <w:szCs w:val="18"/>
        </w:rPr>
        <w:t xml:space="preserve"> 09.10.2024 (</w:t>
      </w:r>
      <w:proofErr w:type="spellStart"/>
      <w:r w:rsidRPr="00B961E0">
        <w:rPr>
          <w:rFonts w:ascii="Verdana" w:hAnsi="Verdana"/>
          <w:sz w:val="18"/>
          <w:szCs w:val="18"/>
        </w:rPr>
        <w:t>опубликовано</w:t>
      </w:r>
      <w:proofErr w:type="spellEnd"/>
      <w:r w:rsidRPr="00B961E0">
        <w:rPr>
          <w:rFonts w:ascii="Verdana" w:hAnsi="Verdana"/>
          <w:sz w:val="18"/>
          <w:szCs w:val="18"/>
        </w:rPr>
        <w:t xml:space="preserve"> 10.10.2024) </w:t>
      </w:r>
      <w:proofErr w:type="spellStart"/>
      <w:r w:rsidRPr="00B961E0">
        <w:rPr>
          <w:rFonts w:ascii="Verdana" w:hAnsi="Verdana"/>
          <w:sz w:val="18"/>
          <w:szCs w:val="18"/>
        </w:rPr>
        <w:t>гражданин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Кузьмин</w:t>
      </w:r>
      <w:proofErr w:type="spellEnd"/>
      <w:r w:rsidRPr="00B961E0">
        <w:rPr>
          <w:rFonts w:ascii="Verdana" w:hAnsi="Verdana"/>
          <w:sz w:val="18"/>
          <w:szCs w:val="18"/>
        </w:rPr>
        <w:t xml:space="preserve"> А. А. 26.06.1992 г.р., </w:t>
      </w:r>
      <w:proofErr w:type="spellStart"/>
      <w:r w:rsidRPr="00B961E0">
        <w:rPr>
          <w:rFonts w:ascii="Verdana" w:hAnsi="Verdana"/>
          <w:sz w:val="18"/>
          <w:szCs w:val="18"/>
        </w:rPr>
        <w:t>уроженец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гор</w:t>
      </w:r>
      <w:proofErr w:type="spellEnd"/>
      <w:r w:rsidRPr="00B961E0">
        <w:rPr>
          <w:rFonts w:ascii="Verdana" w:hAnsi="Verdana"/>
          <w:sz w:val="18"/>
          <w:szCs w:val="18"/>
        </w:rPr>
        <w:t xml:space="preserve">. </w:t>
      </w:r>
      <w:proofErr w:type="spellStart"/>
      <w:r w:rsidRPr="00B961E0">
        <w:rPr>
          <w:rFonts w:ascii="Verdana" w:hAnsi="Verdana"/>
          <w:sz w:val="18"/>
          <w:szCs w:val="18"/>
        </w:rPr>
        <w:t>Димитровград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Ульяновской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обл</w:t>
      </w:r>
      <w:proofErr w:type="spellEnd"/>
      <w:r w:rsidRPr="00B961E0">
        <w:rPr>
          <w:rFonts w:ascii="Verdana" w:hAnsi="Verdana"/>
          <w:sz w:val="18"/>
          <w:szCs w:val="18"/>
        </w:rPr>
        <w:t xml:space="preserve">., </w:t>
      </w:r>
      <w:proofErr w:type="spellStart"/>
      <w:r w:rsidRPr="00B961E0">
        <w:rPr>
          <w:rFonts w:ascii="Verdana" w:hAnsi="Verdana"/>
          <w:sz w:val="18"/>
          <w:szCs w:val="18"/>
        </w:rPr>
        <w:t>адрес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регистрации</w:t>
      </w:r>
      <w:proofErr w:type="spellEnd"/>
      <w:r w:rsidRPr="00B961E0">
        <w:rPr>
          <w:rFonts w:ascii="Verdana" w:hAnsi="Verdana"/>
          <w:sz w:val="18"/>
          <w:szCs w:val="18"/>
        </w:rPr>
        <w:t xml:space="preserve">: </w:t>
      </w:r>
      <w:proofErr w:type="spellStart"/>
      <w:r w:rsidRPr="00B961E0">
        <w:rPr>
          <w:rFonts w:ascii="Verdana" w:hAnsi="Verdana"/>
          <w:sz w:val="18"/>
          <w:szCs w:val="18"/>
        </w:rPr>
        <w:t>Ульяновская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обл</w:t>
      </w:r>
      <w:proofErr w:type="spellEnd"/>
      <w:r w:rsidRPr="00B961E0">
        <w:rPr>
          <w:rFonts w:ascii="Verdana" w:hAnsi="Verdana"/>
          <w:sz w:val="18"/>
          <w:szCs w:val="18"/>
        </w:rPr>
        <w:t xml:space="preserve">., г. </w:t>
      </w:r>
      <w:proofErr w:type="spellStart"/>
      <w:r w:rsidRPr="00B961E0">
        <w:rPr>
          <w:rFonts w:ascii="Verdana" w:hAnsi="Verdana"/>
          <w:sz w:val="18"/>
          <w:szCs w:val="18"/>
        </w:rPr>
        <w:t>Димитровград</w:t>
      </w:r>
      <w:proofErr w:type="spellEnd"/>
      <w:r w:rsidRPr="00B961E0">
        <w:rPr>
          <w:rFonts w:ascii="Verdana" w:hAnsi="Verdana"/>
          <w:sz w:val="18"/>
          <w:szCs w:val="18"/>
        </w:rPr>
        <w:t xml:space="preserve">, </w:t>
      </w:r>
      <w:proofErr w:type="spellStart"/>
      <w:r w:rsidRPr="00B961E0">
        <w:rPr>
          <w:rFonts w:ascii="Verdana" w:hAnsi="Verdana"/>
          <w:sz w:val="18"/>
          <w:szCs w:val="18"/>
        </w:rPr>
        <w:t>ул</w:t>
      </w:r>
      <w:proofErr w:type="spellEnd"/>
      <w:r w:rsidRPr="00B961E0">
        <w:rPr>
          <w:rFonts w:ascii="Verdana" w:hAnsi="Verdana"/>
          <w:sz w:val="18"/>
          <w:szCs w:val="18"/>
        </w:rPr>
        <w:t xml:space="preserve">. </w:t>
      </w:r>
      <w:proofErr w:type="spellStart"/>
      <w:r w:rsidRPr="00B961E0">
        <w:rPr>
          <w:rFonts w:ascii="Verdana" w:hAnsi="Verdana"/>
          <w:sz w:val="18"/>
          <w:szCs w:val="18"/>
        </w:rPr>
        <w:t>Строителей</w:t>
      </w:r>
      <w:proofErr w:type="spellEnd"/>
      <w:r w:rsidRPr="00B961E0">
        <w:rPr>
          <w:rFonts w:ascii="Verdana" w:hAnsi="Verdana"/>
          <w:sz w:val="18"/>
          <w:szCs w:val="18"/>
        </w:rPr>
        <w:t xml:space="preserve">, д. 38, </w:t>
      </w:r>
      <w:proofErr w:type="spellStart"/>
      <w:r w:rsidRPr="00B961E0">
        <w:rPr>
          <w:rFonts w:ascii="Verdana" w:hAnsi="Verdana"/>
          <w:sz w:val="18"/>
          <w:szCs w:val="18"/>
        </w:rPr>
        <w:t>кв</w:t>
      </w:r>
      <w:proofErr w:type="spellEnd"/>
      <w:r w:rsidRPr="00B961E0">
        <w:rPr>
          <w:rFonts w:ascii="Verdana" w:hAnsi="Verdana"/>
          <w:sz w:val="18"/>
          <w:szCs w:val="18"/>
        </w:rPr>
        <w:t>. 131, ИНН: 730291590720, СНИЛС: 15186151660) (</w:t>
      </w:r>
      <w:proofErr w:type="spellStart"/>
      <w:r w:rsidRPr="00B961E0">
        <w:rPr>
          <w:rFonts w:ascii="Verdana" w:hAnsi="Verdana"/>
          <w:sz w:val="18"/>
          <w:szCs w:val="18"/>
        </w:rPr>
        <w:t>далее</w:t>
      </w:r>
      <w:proofErr w:type="spellEnd"/>
      <w:r w:rsidRPr="00B961E0">
        <w:rPr>
          <w:rFonts w:ascii="Verdana" w:hAnsi="Verdana"/>
          <w:sz w:val="18"/>
          <w:szCs w:val="18"/>
        </w:rPr>
        <w:t xml:space="preserve"> - </w:t>
      </w:r>
      <w:proofErr w:type="spellStart"/>
      <w:r w:rsidRPr="00B961E0">
        <w:rPr>
          <w:rFonts w:ascii="Verdana" w:hAnsi="Verdana"/>
          <w:sz w:val="18"/>
          <w:szCs w:val="18"/>
        </w:rPr>
        <w:t>Должник</w:t>
      </w:r>
      <w:proofErr w:type="spellEnd"/>
      <w:r w:rsidRPr="00B961E0">
        <w:rPr>
          <w:rFonts w:ascii="Verdana" w:hAnsi="Verdana"/>
          <w:sz w:val="18"/>
          <w:szCs w:val="18"/>
        </w:rPr>
        <w:t xml:space="preserve">) </w:t>
      </w:r>
      <w:proofErr w:type="spellStart"/>
      <w:r w:rsidRPr="00B961E0">
        <w:rPr>
          <w:rFonts w:ascii="Verdana" w:hAnsi="Verdana"/>
          <w:sz w:val="18"/>
          <w:szCs w:val="18"/>
        </w:rPr>
        <w:t>признан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несостоятельным</w:t>
      </w:r>
      <w:proofErr w:type="spellEnd"/>
      <w:r w:rsidRPr="00B961E0">
        <w:rPr>
          <w:rFonts w:ascii="Verdana" w:hAnsi="Verdana"/>
          <w:sz w:val="18"/>
          <w:szCs w:val="18"/>
        </w:rPr>
        <w:t xml:space="preserve"> (</w:t>
      </w:r>
      <w:proofErr w:type="spellStart"/>
      <w:r w:rsidRPr="00B961E0">
        <w:rPr>
          <w:rFonts w:ascii="Verdana" w:hAnsi="Verdana"/>
          <w:sz w:val="18"/>
          <w:szCs w:val="18"/>
        </w:rPr>
        <w:t>банкротом</w:t>
      </w:r>
      <w:proofErr w:type="spellEnd"/>
      <w:r w:rsidRPr="00B961E0">
        <w:rPr>
          <w:rFonts w:ascii="Verdana" w:hAnsi="Verdana"/>
          <w:sz w:val="18"/>
          <w:szCs w:val="18"/>
        </w:rPr>
        <w:t xml:space="preserve">) и в </w:t>
      </w:r>
      <w:proofErr w:type="spellStart"/>
      <w:r w:rsidRPr="00B961E0">
        <w:rPr>
          <w:rFonts w:ascii="Verdana" w:hAnsi="Verdana"/>
          <w:sz w:val="18"/>
          <w:szCs w:val="18"/>
        </w:rPr>
        <w:t>отношении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него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введена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процедура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реализации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имущества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гражданина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сроком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на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шесть</w:t>
      </w:r>
      <w:proofErr w:type="spellEnd"/>
      <w:r w:rsidRPr="00B961E0">
        <w:rPr>
          <w:rFonts w:ascii="Verdana" w:hAnsi="Verdana"/>
          <w:sz w:val="18"/>
          <w:szCs w:val="18"/>
        </w:rPr>
        <w:t xml:space="preserve"> </w:t>
      </w:r>
      <w:proofErr w:type="spellStart"/>
      <w:r w:rsidRPr="00B961E0">
        <w:rPr>
          <w:rFonts w:ascii="Verdana" w:hAnsi="Verdana"/>
          <w:sz w:val="18"/>
          <w:szCs w:val="18"/>
        </w:rPr>
        <w:t>месяцев</w:t>
      </w:r>
      <w:proofErr w:type="spellEnd"/>
      <w:r w:rsidRPr="00B961E0">
        <w:rPr>
          <w:rFonts w:ascii="Verdana" w:hAnsi="Verdana"/>
          <w:sz w:val="18"/>
          <w:szCs w:val="18"/>
        </w:rPr>
        <w:t>.</w:t>
      </w:r>
    </w:p>
    <w:p w14:paraId="24D04DD7" w14:textId="5FE02F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>191187</w:t>
      </w:r>
      <w:r w:rsidR="007E4DC4" w:rsidRPr="00B961E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B961E0">
        <w:rPr>
          <w:rFonts w:ascii="Verdana" w:hAnsi="Verdana" w:cs="Arial"/>
          <w:sz w:val="18"/>
          <w:szCs w:val="18"/>
        </w:rPr>
        <w:t>СПб</w:t>
      </w:r>
      <w:proofErr w:type="spellEnd"/>
      <w:r w:rsidR="007E4DC4" w:rsidRPr="00B961E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B961E0">
        <w:rPr>
          <w:rFonts w:ascii="Verdana" w:hAnsi="Verdana" w:cs="Arial"/>
          <w:sz w:val="18"/>
          <w:szCs w:val="18"/>
        </w:rPr>
        <w:t>ул</w:t>
      </w:r>
      <w:proofErr w:type="spellEnd"/>
      <w:r w:rsidR="007E4DC4" w:rsidRPr="00B961E0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="007E4DC4" w:rsidRPr="00B961E0">
        <w:rPr>
          <w:rFonts w:ascii="Verdana" w:hAnsi="Verdana" w:cs="Arial"/>
          <w:sz w:val="18"/>
          <w:szCs w:val="18"/>
        </w:rPr>
        <w:t>Чайковского</w:t>
      </w:r>
      <w:proofErr w:type="spellEnd"/>
      <w:r w:rsidR="007E4DC4" w:rsidRPr="00B961E0">
        <w:rPr>
          <w:rFonts w:ascii="Verdana" w:hAnsi="Verdana" w:cs="Arial"/>
          <w:sz w:val="18"/>
          <w:szCs w:val="18"/>
        </w:rPr>
        <w:t xml:space="preserve">, д. 1, </w:t>
      </w:r>
      <w:proofErr w:type="spellStart"/>
      <w:r w:rsidR="007E4DC4" w:rsidRPr="00B961E0">
        <w:rPr>
          <w:rFonts w:ascii="Verdana" w:hAnsi="Verdana" w:cs="Arial"/>
          <w:sz w:val="18"/>
          <w:szCs w:val="18"/>
        </w:rPr>
        <w:t>кор</w:t>
      </w:r>
      <w:proofErr w:type="spellEnd"/>
      <w:r w:rsidR="007E4DC4" w:rsidRPr="00B961E0">
        <w:rPr>
          <w:rFonts w:ascii="Verdana" w:hAnsi="Verdana" w:cs="Arial"/>
          <w:sz w:val="18"/>
          <w:szCs w:val="18"/>
        </w:rPr>
        <w:t xml:space="preserve">. 2, </w:t>
      </w:r>
      <w:proofErr w:type="spellStart"/>
      <w:r w:rsidR="007E4DC4" w:rsidRPr="00B961E0">
        <w:rPr>
          <w:rFonts w:ascii="Verdana" w:hAnsi="Verdana" w:cs="Arial"/>
          <w:sz w:val="18"/>
          <w:szCs w:val="18"/>
        </w:rPr>
        <w:t>лит</w:t>
      </w:r>
      <w:proofErr w:type="spellEnd"/>
      <w:r w:rsidR="007E4DC4" w:rsidRPr="00B961E0">
        <w:rPr>
          <w:rFonts w:ascii="Verdana" w:hAnsi="Verdana" w:cs="Arial"/>
          <w:sz w:val="18"/>
          <w:szCs w:val="18"/>
        </w:rPr>
        <w:t xml:space="preserve">. Б, </w:t>
      </w:r>
      <w:proofErr w:type="spellStart"/>
      <w:r w:rsidR="007E4DC4" w:rsidRPr="00B961E0">
        <w:rPr>
          <w:rFonts w:ascii="Verdana" w:hAnsi="Verdana" w:cs="Arial"/>
          <w:sz w:val="18"/>
          <w:szCs w:val="18"/>
        </w:rPr>
        <w:t>оф</w:t>
      </w:r>
      <w:proofErr w:type="spellEnd"/>
      <w:r w:rsidR="007E4DC4" w:rsidRPr="00B961E0">
        <w:rPr>
          <w:rFonts w:ascii="Verdana" w:hAnsi="Verdana" w:cs="Arial"/>
          <w:sz w:val="18"/>
          <w:szCs w:val="18"/>
        </w:rPr>
        <w:t>.204</w:t>
      </w:r>
      <w:r w:rsidRPr="00B961E0">
        <w:rPr>
          <w:rFonts w:ascii="Verdana" w:hAnsi="Verdana" w:cs="Arial"/>
          <w:sz w:val="18"/>
          <w:szCs w:val="18"/>
        </w:rPr>
        <w:t>, телефон +7 (911) 927-45-06</w:t>
      </w:r>
      <w:r>
        <w:rPr>
          <w:rFonts w:ascii="Verdana" w:hAnsi="Verdana" w:cs="Arial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06EFDB05" w14:textId="67CE6059" w:rsidR="00514346" w:rsidRDefault="00B961E0" w:rsidP="00514346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E744DF">
        <w:rPr>
          <w:rFonts w:ascii="Verdana" w:hAnsi="Verdana"/>
          <w:b/>
          <w:bCs/>
          <w:sz w:val="18"/>
          <w:szCs w:val="18"/>
        </w:rPr>
        <w:t>транспортное средство марки BMW 320I, 1999 года выпуска, идентификационный номер WBAAM110X0JM87602, государственный регистрационный знак С733ХР73</w:t>
      </w:r>
      <w:r w:rsidR="00514346">
        <w:rPr>
          <w:rFonts w:ascii="Verdana" w:hAnsi="Verdana"/>
          <w:b/>
          <w:bCs/>
          <w:sz w:val="18"/>
          <w:szCs w:val="18"/>
        </w:rPr>
        <w:t>.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264BA"/>
    <w:rsid w:val="00B961E0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2025-02-06T11:51:00Z</dcterms:modified>
</cp:coreProperties>
</file>