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E79C0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Глаголев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Владимирович, 05 марта 1987 года рождения, место рождения: г. Карасук Новосибирской области, СНИЛС 133-287-429 58, ИНН 542222364153, адрес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регистрации: г. Новокузнецк Кемеровской области, пер. Ореховый д. 6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 (ИНН 391105564523, СНИЛС 135-156-018 32, </w:t>
      </w: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13 ноября 2024 г. по делу №  А27-7849/2024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23F86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2"/>
          <w:szCs w:val="22"/>
        </w:rPr>
        <w:t>Глаголев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</w:t>
      </w:r>
      <w:r>
        <w:rPr>
          <w:color w:val="000000"/>
          <w:sz w:val="22"/>
          <w:szCs w:val="22"/>
          <w:lang w:eastAsia="ru-RU"/>
        </w:rPr>
        <w:t xml:space="preserve"> 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ПАО СБЕРБАНК Кор/счет банка 30101810100000000634 БИК банка 042748634 КПП банка 390643005 ИНН 7707083893 Счет получателя 40817810120863086477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FF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Глаголев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Владимирович, 05 марта 1987 года рождения, место рождения: г. Карасук Новосибирской области, СНИЛС 133-287-429 58, ИНН 542222364153, адрес</w:t>
            </w:r>
          </w:p>
          <w:p w14:paraId="751D62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rFonts w:hint="default"/>
                <w:sz w:val="22"/>
                <w:szCs w:val="22"/>
              </w:rPr>
              <w:t>регистрации: г. Новокузнецк Кемеровской области, пер. Ореховый д. 6</w:t>
            </w: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Глаголев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40817810120863086477</w:t>
            </w:r>
          </w:p>
          <w:p w14:paraId="33FDC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237FA3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Глаголев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Владимирович, 05 марта 1987 года рождения, место рождения: г. Карасук Новосибирской области, СНИЛС 133-287-429 58, ИНН 542222364153, адрес</w:t>
      </w: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регистрации: г. Новокузнецк Кемеровской области, пер. Ореховый д. 6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 (ИНН 391105564523, СНИЛС 135-156-018 32,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13 ноября 2024 г. по делу №  А27-7849/2024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>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474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31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8C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729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26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Глаголев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Владимирович, 05 марта 1987 года рождения, место рождения: г. Карасук Новосибирской области, СНИЛС 133-287-429 58, ИНН 542222364153, адрес</w:t>
            </w:r>
          </w:p>
          <w:p w14:paraId="6484E0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rFonts w:hint="default"/>
                <w:sz w:val="22"/>
                <w:szCs w:val="22"/>
              </w:rPr>
              <w:t>регистрации: г. Новокузнецк Кемеровской области, пер. Ореховый д. 6</w:t>
            </w:r>
          </w:p>
          <w:p w14:paraId="57CD3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A308C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Глаголев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40817810120863086477</w:t>
            </w:r>
          </w:p>
          <w:p w14:paraId="6B114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197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97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557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69A87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AA58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1ED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091EA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C07A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20</TotalTime>
  <ScaleCrop>false</ScaleCrop>
  <LinksUpToDate>false</LinksUpToDate>
  <CharactersWithSpaces>5958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2025-04-08T01:55:23Z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