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30" w:rsidRPr="005B5730" w:rsidRDefault="00955E94" w:rsidP="005B5730">
      <w:pPr>
        <w:pStyle w:val="rvps48222"/>
        <w:spacing w:after="0"/>
        <w:jc w:val="center"/>
        <w:rPr>
          <w:rStyle w:val="None"/>
          <w:b/>
          <w:bCs/>
        </w:rPr>
      </w:pPr>
      <w:r w:rsidRPr="00F15E4E">
        <w:rPr>
          <w:rStyle w:val="None"/>
          <w:b/>
          <w:bCs/>
        </w:rPr>
        <w:t>И</w:t>
      </w:r>
      <w:r w:rsidR="004A19D3">
        <w:rPr>
          <w:rStyle w:val="None"/>
          <w:b/>
          <w:bCs/>
        </w:rPr>
        <w:t xml:space="preserve">звещение о проведении торгов по реализации </w:t>
      </w:r>
      <w:r w:rsidR="005B5730" w:rsidRPr="005B5730">
        <w:rPr>
          <w:rStyle w:val="None"/>
          <w:b/>
          <w:bCs/>
        </w:rPr>
        <w:t>100 % дол</w:t>
      </w:r>
      <w:r w:rsidR="005B5730">
        <w:rPr>
          <w:rStyle w:val="None"/>
          <w:b/>
          <w:bCs/>
        </w:rPr>
        <w:t>и</w:t>
      </w:r>
      <w:r w:rsidR="005B5730" w:rsidRPr="005B5730">
        <w:rPr>
          <w:rStyle w:val="None"/>
          <w:b/>
          <w:bCs/>
        </w:rPr>
        <w:t xml:space="preserve"> в обществе с ограниченной ответств</w:t>
      </w:r>
      <w:r w:rsidR="005B5730">
        <w:rPr>
          <w:rStyle w:val="None"/>
          <w:b/>
          <w:bCs/>
        </w:rPr>
        <w:t>енностью «АИС Консалт Внуково»</w:t>
      </w:r>
    </w:p>
    <w:p w:rsidR="007A5DC5" w:rsidRDefault="007A5DC5">
      <w:pPr>
        <w:spacing w:after="0" w:line="240" w:lineRule="auto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tabs>
          <w:tab w:val="left" w:pos="9979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Организатор торгов:</w:t>
      </w:r>
      <w:r>
        <w:rPr>
          <w:rStyle w:val="None"/>
          <w:rFonts w:ascii="Times New Roman" w:hAnsi="Times New Roman"/>
          <w:sz w:val="24"/>
          <w:szCs w:val="24"/>
        </w:rPr>
        <w:t xml:space="preserve"> ООО «Ассет Менеджмент». </w:t>
      </w:r>
    </w:p>
    <w:p w:rsidR="007A5DC5" w:rsidRDefault="00955E94">
      <w:pPr>
        <w:pStyle w:val="a5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 торгов: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r>
          <w:rPr>
            <w:rStyle w:val="Hyperlink0"/>
          </w:rPr>
          <w:t>ru</w:t>
        </w:r>
      </w:hyperlink>
      <w:r>
        <w:rPr>
          <w:rStyle w:val="None"/>
        </w:rPr>
        <w:t xml:space="preserve">. </w:t>
      </w:r>
    </w:p>
    <w:p w:rsidR="007A5DC5" w:rsidRDefault="00955E94">
      <w:pPr>
        <w:pStyle w:val="a5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281C7D" w:rsidRPr="00281C7D">
        <w:rPr>
          <w:rStyle w:val="None"/>
          <w:bCs/>
        </w:rPr>
        <w:t xml:space="preserve">ООО </w:t>
      </w:r>
      <w:r w:rsidR="006F768C">
        <w:rPr>
          <w:rStyle w:val="None"/>
        </w:rPr>
        <w:t>«</w:t>
      </w:r>
      <w:r w:rsidR="00281C7D" w:rsidRPr="00281C7D">
        <w:rPr>
          <w:rStyle w:val="None"/>
          <w:bCs/>
        </w:rPr>
        <w:t>АИС Консалт Внуково</w:t>
      </w:r>
      <w:r w:rsidR="006F768C">
        <w:rPr>
          <w:rStyle w:val="None"/>
        </w:rPr>
        <w:t>»</w:t>
      </w:r>
      <w:r w:rsidR="00281C7D">
        <w:rPr>
          <w:rStyle w:val="None"/>
          <w:bCs/>
        </w:rPr>
        <w:t xml:space="preserve"> ИНН: </w:t>
      </w:r>
      <w:r w:rsidR="00281C7D" w:rsidRPr="00281C7D">
        <w:rPr>
          <w:rStyle w:val="None"/>
          <w:bCs/>
        </w:rPr>
        <w:t>5003148519</w:t>
      </w:r>
      <w:r w:rsidR="00281C7D">
        <w:rPr>
          <w:rStyle w:val="None"/>
          <w:bCs/>
        </w:rPr>
        <w:t xml:space="preserve"> ОГРН: </w:t>
      </w:r>
      <w:r w:rsidR="00281C7D" w:rsidRPr="00281C7D">
        <w:rPr>
          <w:rStyle w:val="None"/>
          <w:bCs/>
        </w:rPr>
        <w:t>1215000127990</w:t>
      </w: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Торги</w:t>
      </w:r>
      <w:r>
        <w:rPr>
          <w:rStyle w:val="None"/>
          <w:rFonts w:ascii="Times New Roman" w:hAnsi="Times New Roman"/>
          <w:sz w:val="24"/>
          <w:szCs w:val="24"/>
        </w:rPr>
        <w:t xml:space="preserve"> проводятся в форме электронного аукциона, открытого по составу участников и с открытой формой подачи предложений о цене («английский аукцион»).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Место проведения торгов: </w:t>
      </w:r>
      <w:r>
        <w:rPr>
          <w:rStyle w:val="None"/>
          <w:rFonts w:ascii="Times New Roman" w:hAnsi="Times New Roman"/>
          <w:sz w:val="24"/>
          <w:szCs w:val="24"/>
        </w:rPr>
        <w:t xml:space="preserve">торги проводятся 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://</w:t>
        </w:r>
        <w:r>
          <w:rPr>
            <w:rStyle w:val="Hyperlink1"/>
            <w:rFonts w:eastAsia="Calibri"/>
          </w:rPr>
          <w:t>nistp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.</w:t>
        </w:r>
        <w:r>
          <w:rPr>
            <w:rStyle w:val="Hyperlink1"/>
            <w:rFonts w:eastAsia="Calibri"/>
          </w:rPr>
          <w:t>ru</w:t>
        </w:r>
        <w:r>
          <w:rPr>
            <w:rStyle w:val="None"/>
            <w:rFonts w:ascii="Times New Roman" w:hAnsi="Times New Roman"/>
            <w:color w:val="0000FF"/>
            <w:sz w:val="24"/>
            <w:szCs w:val="24"/>
            <w:u w:val="single" w:color="0000FF"/>
          </w:rPr>
          <w:t>/</w:t>
        </w:r>
      </w:hyperlink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Контактный телефон:</w:t>
      </w:r>
      <w:r>
        <w:rPr>
          <w:rStyle w:val="None"/>
          <w:rFonts w:ascii="Times New Roman" w:hAnsi="Times New Roman"/>
          <w:sz w:val="24"/>
          <w:szCs w:val="24"/>
        </w:rPr>
        <w:t xml:space="preserve"> +7 (495) 653-81-62.</w:t>
      </w:r>
    </w:p>
    <w:p w:rsidR="007A5DC5" w:rsidRDefault="00955E94">
      <w:pPr>
        <w:spacing w:after="9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63172383"/>
      <w:r>
        <w:rPr>
          <w:rStyle w:val="None"/>
          <w:rFonts w:ascii="Times New Roman" w:hAnsi="Times New Roman"/>
          <w:sz w:val="24"/>
          <w:szCs w:val="24"/>
        </w:rPr>
        <w:t xml:space="preserve">Извещение о торгах в электронной форме размещается в сети Интернет на сайте: АО «НИС»: </w:t>
      </w:r>
      <w:r>
        <w:rPr>
          <w:rStyle w:val="None"/>
          <w:rFonts w:ascii="Times New Roman" w:hAnsi="Times New Roman"/>
          <w:sz w:val="24"/>
          <w:szCs w:val="24"/>
          <w:u w:val="single"/>
        </w:rPr>
        <w:t>http</w:t>
      </w:r>
      <w:r>
        <w:rPr>
          <w:rStyle w:val="None"/>
          <w:rFonts w:ascii="Times New Roman" w:hAnsi="Times New Roman"/>
          <w:sz w:val="24"/>
          <w:szCs w:val="24"/>
          <w:u w:val="single"/>
          <w:lang w:val="en-US"/>
        </w:rPr>
        <w:t>s</w:t>
      </w:r>
      <w:r>
        <w:rPr>
          <w:rStyle w:val="None"/>
          <w:rFonts w:ascii="Times New Roman" w:hAnsi="Times New Roman"/>
          <w:sz w:val="24"/>
          <w:szCs w:val="24"/>
          <w:u w:val="single"/>
        </w:rPr>
        <w:t>://nistp.ru/</w:t>
      </w:r>
      <w:r>
        <w:rPr>
          <w:rStyle w:val="None"/>
          <w:rFonts w:ascii="Times New Roman" w:hAnsi="Times New Roman"/>
          <w:sz w:val="24"/>
          <w:szCs w:val="24"/>
        </w:rPr>
        <w:t xml:space="preserve"> и на сайте Организатора торгов </w:t>
      </w:r>
      <w:hyperlink r:id="rId8" w:history="1"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https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://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asset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-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m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.</w:t>
        </w:r>
        <w:r w:rsidR="00F2094A" w:rsidRPr="009A6799">
          <w:rPr>
            <w:rStyle w:val="a3"/>
            <w:rFonts w:ascii="Times New Roman" w:hAnsi="Times New Roman" w:cs="Times New Roman"/>
            <w:sz w:val="24"/>
            <w:szCs w:val="24"/>
            <w:u w:color="0000FF"/>
            <w:lang w:val="en-US"/>
          </w:rPr>
          <w:t>ru</w:t>
        </w:r>
        <w:r w:rsidR="00F2094A" w:rsidRPr="009A6799">
          <w:rPr>
            <w:rStyle w:val="a3"/>
            <w:rFonts w:ascii="Times New Roman" w:hAnsi="Times New Roman"/>
            <w:sz w:val="24"/>
            <w:szCs w:val="24"/>
            <w:u w:color="0000FF"/>
          </w:rPr>
          <w:t>/</w:t>
        </w:r>
      </w:hyperlink>
    </w:p>
    <w:p w:rsidR="007A5DC5" w:rsidRDefault="00955E94">
      <w:pPr>
        <w:pStyle w:val="Default"/>
        <w:tabs>
          <w:tab w:val="left" w:pos="1134"/>
        </w:tabs>
        <w:jc w:val="both"/>
      </w:pPr>
      <w:bookmarkStart w:id="1" w:name="_Hlk63172372"/>
      <w:r>
        <w:rPr>
          <w:rStyle w:val="None"/>
        </w:rPr>
        <w:t>Торги проходят в соответствии с регламентом электронной торговой площадки АО «НИС» (далее - ЭТП) и настоящим Извещением о проведении торгов.</w:t>
      </w:r>
    </w:p>
    <w:bookmarkEnd w:id="1"/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Прием заявок осуществляется с </w:t>
      </w:r>
      <w:bookmarkEnd w:id="0"/>
      <w:r w:rsidR="004A19D3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05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3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</w:t>
      </w:r>
      <w:r w:rsidR="008917E3">
        <w:rPr>
          <w:rStyle w:val="None"/>
          <w:rFonts w:ascii="Times New Roman" w:hAnsi="Times New Roman"/>
          <w:b/>
          <w:bCs/>
          <w:sz w:val="24"/>
          <w:szCs w:val="24"/>
        </w:rPr>
        <w:t>5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г</w:t>
      </w:r>
      <w:r>
        <w:rPr>
          <w:rStyle w:val="None"/>
          <w:rFonts w:ascii="Times New Roman" w:hAnsi="Times New Roman"/>
          <w:sz w:val="24"/>
          <w:szCs w:val="24"/>
        </w:rPr>
        <w:t xml:space="preserve">. до </w:t>
      </w:r>
      <w:r w:rsidR="004A19D3">
        <w:rPr>
          <w:rStyle w:val="None"/>
          <w:rFonts w:ascii="Times New Roman" w:hAnsi="Times New Roman"/>
          <w:b/>
          <w:bCs/>
          <w:sz w:val="24"/>
          <w:szCs w:val="24"/>
        </w:rPr>
        <w:t>12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:00</w:t>
      </w:r>
      <w:r>
        <w:rPr>
          <w:rStyle w:val="None"/>
          <w:rFonts w:ascii="Times New Roman" w:hAnsi="Times New Roman"/>
          <w:sz w:val="24"/>
          <w:szCs w:val="24"/>
        </w:rPr>
        <w:t xml:space="preserve"> часов </w:t>
      </w:r>
      <w:r w:rsidR="003363FA">
        <w:rPr>
          <w:rStyle w:val="None"/>
          <w:rFonts w:ascii="Times New Roman" w:hAnsi="Times New Roman"/>
          <w:b/>
          <w:bCs/>
          <w:sz w:val="24"/>
          <w:szCs w:val="24"/>
        </w:rPr>
        <w:t>18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>
        <w:rPr>
          <w:rStyle w:val="None"/>
          <w:rFonts w:ascii="Times New Roman" w:hAnsi="Times New Roman"/>
          <w:sz w:val="24"/>
          <w:szCs w:val="24"/>
        </w:rPr>
        <w:t xml:space="preserve"> по московскому времени.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bookmarkStart w:id="2" w:name="_Hlk63172398"/>
      <w:r>
        <w:rPr>
          <w:rStyle w:val="None"/>
          <w:rFonts w:ascii="Times New Roman" w:hAnsi="Times New Roman"/>
          <w:sz w:val="24"/>
          <w:szCs w:val="24"/>
        </w:rPr>
        <w:t xml:space="preserve">Задаток должен поступить на счет Оператора электронной площадки не позднее </w:t>
      </w:r>
      <w:bookmarkEnd w:id="2"/>
      <w:r w:rsidR="003363FA">
        <w:rPr>
          <w:rStyle w:val="None"/>
          <w:rFonts w:ascii="Times New Roman" w:hAnsi="Times New Roman"/>
          <w:b/>
          <w:bCs/>
          <w:sz w:val="24"/>
          <w:szCs w:val="24"/>
        </w:rPr>
        <w:t>18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 w:rsidR="003363FA">
        <w:rPr>
          <w:rStyle w:val="None"/>
          <w:rFonts w:ascii="Times New Roman" w:hAnsi="Times New Roman"/>
          <w:b/>
          <w:bCs/>
          <w:sz w:val="24"/>
          <w:szCs w:val="24"/>
        </w:rPr>
        <w:t>21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.0</w:t>
      </w:r>
      <w:r w:rsidR="003D4B68">
        <w:rPr>
          <w:rStyle w:val="None"/>
          <w:rFonts w:ascii="Times New Roman" w:hAnsi="Times New Roman"/>
          <w:b/>
          <w:bCs/>
          <w:sz w:val="24"/>
          <w:szCs w:val="24"/>
        </w:rPr>
        <w:t>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.2025 г. </w:t>
      </w: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Дата и время начала проведения торгов в электронной форме </w:t>
      </w:r>
      <w:r w:rsidR="003363FA">
        <w:rPr>
          <w:rStyle w:val="None"/>
          <w:rFonts w:ascii="Times New Roman" w:hAnsi="Times New Roman"/>
          <w:b/>
          <w:bCs/>
          <w:sz w:val="24"/>
          <w:szCs w:val="24"/>
        </w:rPr>
        <w:t>22</w:t>
      </w:r>
      <w:r w:rsidR="005B5730">
        <w:rPr>
          <w:rStyle w:val="None"/>
          <w:rFonts w:ascii="Times New Roman" w:hAnsi="Times New Roman"/>
          <w:b/>
          <w:bCs/>
          <w:sz w:val="24"/>
          <w:szCs w:val="24"/>
        </w:rPr>
        <w:t>.04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>.2025 г. в 12:00 московского времени.</w:t>
      </w:r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955E94" w:rsidRDefault="00955E94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Предмет торгов</w:t>
      </w:r>
      <w:r w:rsidR="005B5730">
        <w:rPr>
          <w:rStyle w:val="None"/>
          <w:rFonts w:ascii="Times New Roman" w:hAnsi="Times New Roman"/>
          <w:b/>
          <w:bCs/>
          <w:sz w:val="24"/>
          <w:szCs w:val="24"/>
        </w:rPr>
        <w:t xml:space="preserve"> (далее – имущество)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в электронной форме:</w:t>
      </w:r>
    </w:p>
    <w:p w:rsidR="005B5730" w:rsidRPr="001D37D6" w:rsidRDefault="005B5730">
      <w:pPr>
        <w:widowControl w:val="0"/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:rsidR="00902FA5" w:rsidRPr="00902FA5" w:rsidRDefault="00955E94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Лот №1:</w:t>
      </w:r>
      <w:r w:rsidR="004A19D3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2FA5" w:rsidRPr="00902FA5">
        <w:rPr>
          <w:rStyle w:val="None"/>
          <w:rFonts w:ascii="Times New Roman" w:hAnsi="Times New Roman"/>
          <w:sz w:val="24"/>
          <w:szCs w:val="24"/>
        </w:rPr>
        <w:t>100 % доля в обществе с ограниченной ответственностью «АИС Консалт Внуково», включает: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 xml:space="preserve">Право аренды земельного участка, площадью 0,47 га, ТЭПы общей площадью 14 150 кв. м., высотность – до 30 м; 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 xml:space="preserve">Земельный участок расположен в г. Москва, Боровское шоссе, коммунальная зона "Внуково", ул. Интернациональная), расположен в 12 км от МКАД в поселке Внуково, ЗАО, г. Москва. 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 xml:space="preserve">Дополнительные сведения: 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Подходит под программу МПТ («Места приложения труда») с коэффициентом 0,5, максимальный размер льготы 805 000 000 руб.;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- в непосредственной близости станция метро «Аэропорт Внуково»;</w:t>
      </w:r>
    </w:p>
    <w:p w:rsidR="00902FA5" w:rsidRPr="00902FA5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- граничит с ГТЭС «Внуково» (потенциал дешевой электроэнергии в большом объеме);</w:t>
      </w:r>
    </w:p>
    <w:p w:rsidR="005B5730" w:rsidRDefault="00902FA5" w:rsidP="00902FA5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  <w:r w:rsidRPr="00902FA5">
        <w:rPr>
          <w:rStyle w:val="None"/>
          <w:rFonts w:ascii="Times New Roman" w:hAnsi="Times New Roman"/>
          <w:sz w:val="24"/>
          <w:szCs w:val="24"/>
        </w:rPr>
        <w:t>- возможность изменить ВРИ под гостиницу или производственно-складское здание.</w:t>
      </w:r>
    </w:p>
    <w:p w:rsidR="00A73CDE" w:rsidRPr="00A73CDE" w:rsidRDefault="00A73CDE" w:rsidP="00902FA5">
      <w:pPr>
        <w:spacing w:after="0" w:line="240" w:lineRule="auto"/>
        <w:jc w:val="both"/>
        <w:rPr>
          <w:rStyle w:val="None"/>
          <w:rFonts w:ascii="Times New Roman" w:hAnsi="Times New Roman"/>
          <w:b/>
          <w:sz w:val="24"/>
          <w:szCs w:val="24"/>
        </w:rPr>
      </w:pPr>
    </w:p>
    <w:p w:rsidR="00A73CDE" w:rsidRPr="00A73CDE" w:rsidRDefault="00A73CDE" w:rsidP="003363FA">
      <w:pPr>
        <w:spacing w:after="0" w:line="240" w:lineRule="auto"/>
        <w:jc w:val="both"/>
        <w:rPr>
          <w:rStyle w:val="None"/>
          <w:rFonts w:ascii="Times New Roman" w:hAnsi="Times New Roman"/>
          <w:b/>
          <w:sz w:val="24"/>
          <w:szCs w:val="24"/>
        </w:rPr>
      </w:pPr>
      <w:bookmarkStart w:id="3" w:name="_GoBack"/>
      <w:r w:rsidRPr="00A73CDE">
        <w:rPr>
          <w:rStyle w:val="None"/>
          <w:rFonts w:ascii="Times New Roman" w:hAnsi="Times New Roman"/>
          <w:b/>
          <w:sz w:val="24"/>
          <w:szCs w:val="24"/>
        </w:rPr>
        <w:t>По состоянию на 13.02.2025 г. Общество с ограниченной ответственностью «АИС Консалт Внуково» имеет задолженность по арендным платежам в размере 5 755 587,45 рублей.</w:t>
      </w:r>
    </w:p>
    <w:bookmarkEnd w:id="3"/>
    <w:p w:rsidR="005B5730" w:rsidRPr="004A19D3" w:rsidRDefault="005B5730" w:rsidP="005B5730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8917E3" w:rsidRDefault="004A19D3" w:rsidP="004A19D3">
      <w:pPr>
        <w:spacing w:after="0" w:line="24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  <w:r w:rsidRPr="004A19D3">
        <w:rPr>
          <w:rStyle w:val="None"/>
          <w:rFonts w:ascii="Times New Roman" w:hAnsi="Times New Roman"/>
          <w:b/>
          <w:sz w:val="24"/>
          <w:szCs w:val="24"/>
        </w:rPr>
        <w:t>Место нахождения: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5B5730" w:rsidRPr="005B5730">
        <w:rPr>
          <w:rStyle w:val="None"/>
          <w:rFonts w:ascii="Times New Roman" w:hAnsi="Times New Roman"/>
          <w:sz w:val="24"/>
          <w:szCs w:val="24"/>
        </w:rPr>
        <w:t>г. Москва, Боровское шоссе, коммунальная зона "Внуково", ул. Интернациональная</w:t>
      </w:r>
      <w:r w:rsidRPr="004A19D3">
        <w:rPr>
          <w:rStyle w:val="None"/>
          <w:rFonts w:ascii="Times New Roman" w:hAnsi="Times New Roman"/>
          <w:sz w:val="24"/>
          <w:szCs w:val="24"/>
        </w:rPr>
        <w:t xml:space="preserve">. </w:t>
      </w:r>
    </w:p>
    <w:p w:rsidR="004A19D3" w:rsidRPr="008917E3" w:rsidRDefault="004A19D3" w:rsidP="004A19D3">
      <w:pPr>
        <w:spacing w:after="0" w:line="240" w:lineRule="auto"/>
        <w:jc w:val="both"/>
        <w:rPr>
          <w:rStyle w:val="None"/>
          <w:rFonts w:ascii="Times New Roman" w:hAnsi="Times New Roman"/>
          <w:sz w:val="24"/>
          <w:szCs w:val="24"/>
        </w:rPr>
      </w:pP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Начальная цена лота: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5B5730" w:rsidRPr="005B5730">
        <w:rPr>
          <w:rStyle w:val="None"/>
          <w:rFonts w:ascii="Times New Roman" w:hAnsi="Times New Roman"/>
          <w:sz w:val="24"/>
          <w:szCs w:val="24"/>
        </w:rPr>
        <w:t>8 978 965,00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(</w:t>
      </w:r>
      <w:r w:rsidR="005B5730">
        <w:rPr>
          <w:rStyle w:val="None"/>
          <w:rFonts w:ascii="Times New Roman" w:hAnsi="Times New Roman"/>
          <w:sz w:val="24"/>
          <w:szCs w:val="24"/>
        </w:rPr>
        <w:t>Восемь миллионов девятьсот семьдесят восемь тысяч девятьсот шестьдесят пять</w:t>
      </w:r>
      <w:r w:rsidR="008917E3">
        <w:rPr>
          <w:rStyle w:val="None"/>
          <w:rFonts w:ascii="Times New Roman" w:hAnsi="Times New Roman"/>
          <w:sz w:val="24"/>
          <w:szCs w:val="24"/>
        </w:rPr>
        <w:t>) рублей, НДС не облагается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Шаг повышения цены лота: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5B5730">
        <w:rPr>
          <w:rStyle w:val="None"/>
          <w:rFonts w:ascii="Times New Roman" w:hAnsi="Times New Roman"/>
          <w:sz w:val="24"/>
          <w:szCs w:val="24"/>
        </w:rPr>
        <w:t>897 896,50</w:t>
      </w:r>
      <w:r w:rsidR="00BD137B">
        <w:rPr>
          <w:rStyle w:val="None"/>
          <w:rFonts w:ascii="Times New Roman" w:hAnsi="Times New Roman"/>
          <w:sz w:val="24"/>
          <w:szCs w:val="24"/>
        </w:rPr>
        <w:t xml:space="preserve"> (</w:t>
      </w:r>
      <w:r w:rsidR="005B5730">
        <w:rPr>
          <w:rStyle w:val="None"/>
          <w:rFonts w:ascii="Times New Roman" w:hAnsi="Times New Roman"/>
          <w:sz w:val="24"/>
          <w:szCs w:val="24"/>
        </w:rPr>
        <w:t>Восемьсот девяносто семь тысяч восемьсот девяносто шесть</w:t>
      </w:r>
      <w:r w:rsidR="00BD137B">
        <w:rPr>
          <w:rStyle w:val="None"/>
          <w:rFonts w:ascii="Times New Roman" w:hAnsi="Times New Roman"/>
          <w:sz w:val="24"/>
          <w:szCs w:val="24"/>
        </w:rPr>
        <w:t>)</w:t>
      </w:r>
      <w:r>
        <w:rPr>
          <w:rStyle w:val="None"/>
          <w:rFonts w:ascii="Times New Roman" w:hAnsi="Times New Roman"/>
          <w:sz w:val="24"/>
          <w:szCs w:val="24"/>
        </w:rPr>
        <w:t xml:space="preserve"> рублей</w:t>
      </w:r>
      <w:r w:rsidR="005B5730">
        <w:rPr>
          <w:rStyle w:val="None"/>
          <w:rFonts w:ascii="Times New Roman" w:hAnsi="Times New Roman"/>
          <w:sz w:val="24"/>
          <w:szCs w:val="24"/>
        </w:rPr>
        <w:t xml:space="preserve"> 50 копеек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955E9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lastRenderedPageBreak/>
        <w:t xml:space="preserve">Размер задатка: </w:t>
      </w:r>
      <w:r w:rsidR="005B5730">
        <w:rPr>
          <w:rStyle w:val="None"/>
          <w:rFonts w:ascii="Times New Roman" w:hAnsi="Times New Roman"/>
          <w:sz w:val="24"/>
          <w:szCs w:val="24"/>
        </w:rPr>
        <w:t>1 795 793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</w:t>
      </w:r>
      <w:r w:rsidR="00BD137B">
        <w:rPr>
          <w:rStyle w:val="None"/>
          <w:rFonts w:ascii="Times New Roman" w:hAnsi="Times New Roman"/>
          <w:sz w:val="24"/>
          <w:szCs w:val="24"/>
        </w:rPr>
        <w:t>(</w:t>
      </w:r>
      <w:r w:rsidR="005B5730">
        <w:rPr>
          <w:rStyle w:val="None"/>
          <w:rFonts w:ascii="Times New Roman" w:hAnsi="Times New Roman"/>
          <w:sz w:val="24"/>
          <w:szCs w:val="24"/>
        </w:rPr>
        <w:t>Один миллион семьсот девяносто пять тысяч семьсот девяносто три</w:t>
      </w:r>
      <w:r w:rsidR="00BD137B">
        <w:rPr>
          <w:rStyle w:val="None"/>
          <w:rFonts w:ascii="Times New Roman" w:hAnsi="Times New Roman"/>
          <w:sz w:val="24"/>
          <w:szCs w:val="24"/>
        </w:rPr>
        <w:t>) рубля</w:t>
      </w:r>
      <w:r w:rsidR="008917E3" w:rsidRPr="008917E3">
        <w:rPr>
          <w:rStyle w:val="None"/>
          <w:rFonts w:ascii="Times New Roman" w:hAnsi="Times New Roman"/>
          <w:sz w:val="24"/>
          <w:szCs w:val="24"/>
        </w:rPr>
        <w:t xml:space="preserve"> (НДС не облагается)</w:t>
      </w:r>
      <w:r>
        <w:rPr>
          <w:rStyle w:val="None"/>
          <w:rFonts w:ascii="Times New Roman" w:hAnsi="Times New Roman"/>
          <w:sz w:val="24"/>
          <w:szCs w:val="24"/>
        </w:rPr>
        <w:t>.</w:t>
      </w:r>
    </w:p>
    <w:p w:rsidR="007A5DC5" w:rsidRDefault="007A5DC5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A5DC5" w:rsidRDefault="00955E94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Ознакомиться с информацией, а также иными сведениями об имуществе, выставленном на торги, можно по предварительному запросу у Организатора торгов с момента начала приема заявок по телефону +7 (495) 204-23-75; e-mail: </w:t>
      </w:r>
      <w:hyperlink r:id="rId9" w:history="1">
        <w:r>
          <w:rPr>
            <w:rStyle w:val="Hyperlink2"/>
            <w:rFonts w:eastAsia="Calibri"/>
          </w:rPr>
          <w:t>trade@asset-m.ru</w:t>
        </w:r>
      </w:hyperlink>
    </w:p>
    <w:p w:rsidR="007A5DC5" w:rsidRDefault="007A5DC5">
      <w:pPr>
        <w:widowControl w:val="0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</w:rPr>
      </w:pPr>
    </w:p>
    <w:p w:rsidR="007A5DC5" w:rsidRDefault="00955E94">
      <w:pPr>
        <w:spacing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К участию в торгах, проводимом в электронной форме, допускаются физические лица (в том числе индивидуальные предприниматели) и юридические лица, ознакомившиеся с документацией, своевременно подавшие заявку на участие в торгах и представившие документы в соответствии с перечнем, установленном в Извещении о проведении торгов (Далее также – Извещение), обеспечившие поступление задатка (в сроки и размере согласно Извещению) на указанный в Извещении счет для перевода задатка.</w:t>
      </w:r>
    </w:p>
    <w:p w:rsidR="007A5DC5" w:rsidRDefault="00955E94">
      <w:pPr>
        <w:spacing w:before="120"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Заявка на участие в торгах:</w:t>
      </w:r>
    </w:p>
    <w:p w:rsidR="007A5DC5" w:rsidRDefault="00955E94">
      <w:pPr>
        <w:pStyle w:val="a6"/>
        <w:tabs>
          <w:tab w:val="left" w:pos="993"/>
        </w:tabs>
        <w:spacing w:before="0" w:after="0"/>
        <w:ind w:firstLine="709"/>
        <w:jc w:val="both"/>
      </w:pPr>
      <w:r>
        <w:rPr>
          <w:rStyle w:val="None"/>
        </w:rPr>
        <w:t xml:space="preserve">Форма заявки и порядок ее подачи: в электронной форме в соответствии с Извещением и Регламентом ЭТП АО «НИС» </w:t>
      </w:r>
      <w:hyperlink r:id="rId10" w:history="1">
        <w:r>
          <w:rPr>
            <w:rStyle w:val="Hyperlink3"/>
          </w:rPr>
          <w:t>http</w:t>
        </w:r>
        <w:r>
          <w:rPr>
            <w:rStyle w:val="Hyperlink0"/>
          </w:rPr>
          <w:t>s</w:t>
        </w:r>
        <w:r>
          <w:rPr>
            <w:rStyle w:val="Hyperlink3"/>
          </w:rPr>
          <w:t>://nistp.ru/</w:t>
        </w:r>
      </w:hyperlink>
      <w:r>
        <w:rPr>
          <w:rStyle w:val="None"/>
        </w:rPr>
        <w:t xml:space="preserve"> </w:t>
      </w:r>
    </w:p>
    <w:p w:rsidR="007A5DC5" w:rsidRDefault="007A5DC5">
      <w:pPr>
        <w:pStyle w:val="a6"/>
        <w:tabs>
          <w:tab w:val="left" w:pos="993"/>
        </w:tabs>
        <w:spacing w:before="0" w:after="0"/>
        <w:ind w:firstLine="709"/>
        <w:jc w:val="both"/>
        <w:rPr>
          <w:rStyle w:val="None"/>
          <w:shd w:val="clear" w:color="auto" w:fill="FFFF00"/>
        </w:rPr>
      </w:pPr>
    </w:p>
    <w:p w:rsidR="007A5DC5" w:rsidRDefault="00955E9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Требования к претендентам на участие в торгах:</w:t>
      </w:r>
    </w:p>
    <w:p w:rsidR="007A5DC5" w:rsidRDefault="00955E94">
      <w:pPr>
        <w:pStyle w:val="a6"/>
        <w:tabs>
          <w:tab w:val="left" w:pos="993"/>
          <w:tab w:val="left" w:pos="1134"/>
        </w:tabs>
        <w:spacing w:before="0" w:after="0"/>
        <w:jc w:val="both"/>
      </w:pPr>
      <w:r>
        <w:rPr>
          <w:rStyle w:val="None"/>
        </w:rPr>
        <w:t xml:space="preserve">1. Для участия в торгах необходимо зарегистрироваться на ЭТП АО «НИС» </w:t>
      </w:r>
    </w:p>
    <w:p w:rsidR="007A5DC5" w:rsidRDefault="00955E94">
      <w:pPr>
        <w:tabs>
          <w:tab w:val="left" w:pos="993"/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2. Внести задаток на банковские реквизиты Оператора электронной площадки:</w:t>
      </w:r>
    </w:p>
    <w:p w:rsidR="007A5DC5" w:rsidRDefault="00955E94">
      <w:pPr>
        <w:spacing w:line="216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Банковские реквизиты Оператора электронной площадки АО «НИС»: 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В назначении платежа необходимо указать: Перевод задатка на участие в торгах процедура №________, Лот №____.</w:t>
      </w:r>
    </w:p>
    <w:p w:rsidR="007A5DC5" w:rsidRDefault="007A5DC5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spacing w:after="0" w:line="240" w:lineRule="auto"/>
        <w:jc w:val="both"/>
        <w:outlineLvl w:val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3. В установленный в извещении срок предоставить: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- заявку на участие в торгах,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</w:t>
      </w:r>
      <w:r>
        <w:rPr>
          <w:rStyle w:val="None"/>
          <w:b/>
          <w:bCs/>
        </w:rPr>
        <w:t xml:space="preserve">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- сканированную копию выписки из ЕГРЮЛ (для юридического лица), выписку из ЕГРИП (для ИП) полученные не более чем за 1 месяц до подачи заявки;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ИП, либо лист записи (в случае регистрации после 1 января 2017 г.)</w:t>
      </w: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</w:rPr>
        <w:t xml:space="preserve">нужного реестра – ЕРГЮЛ (для юридического лица) или ЕГРИП (для ИП)); сканированная копия паспорта (для физического лица и ИП); копия свидетельства о постановке на учет физического лица в налоговом органе (для физического лица); копии полученных не более чем за 1 месяц надлежащим образом заверенных переводов на русский язык паспорта (для иностранного физического лица или ИП),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7A5DC5" w:rsidRDefault="00955E94">
      <w:pPr>
        <w:spacing w:after="0" w:line="240" w:lineRule="atLeast"/>
        <w:ind w:firstLine="709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- доверенность или иной документ, подтверждающий полномочия лица, действовать от имени заявителя (в случае подачи заявки уполномоченным лицом). 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>Также всем претендентам необходимо дополнительно предоставить: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- платежный документ (копия) с отметкой банка об исполнении, подтверждающий внесение задатка в счет обеспечения оплаты имущества, реализуемого на торгах;</w:t>
      </w:r>
    </w:p>
    <w:p w:rsidR="007A5DC5" w:rsidRDefault="00955E94">
      <w:pPr>
        <w:tabs>
          <w:tab w:val="left" w:pos="1134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lastRenderedPageBreak/>
        <w:t xml:space="preserve">            - копия договора о задатке с указанием реквизитов для возврата задатка.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</w:t>
      </w:r>
      <w:r w:rsidR="008A75C7">
        <w:rPr>
          <w:rStyle w:val="None"/>
        </w:rPr>
        <w:t xml:space="preserve">ой Федерации и иметь надлежащим </w:t>
      </w:r>
      <w:r>
        <w:rPr>
          <w:rStyle w:val="None"/>
        </w:rPr>
        <w:t>образом заверенный перевод на русский язык.</w:t>
      </w:r>
    </w:p>
    <w:p w:rsidR="00955E94" w:rsidRPr="00F15E4E" w:rsidRDefault="00955E94" w:rsidP="00F15E4E">
      <w:pPr>
        <w:pStyle w:val="Default"/>
        <w:tabs>
          <w:tab w:val="left" w:pos="1134"/>
        </w:tabs>
        <w:ind w:firstLine="709"/>
        <w:jc w:val="both"/>
        <w:rPr>
          <w:rStyle w:val="None"/>
        </w:rPr>
      </w:pPr>
      <w:r>
        <w:rPr>
          <w:rStyle w:val="None"/>
        </w:rPr>
        <w:t>Непредставление вышеперечисленных документов может служить основанием для не допуска к участию в аукционе.</w:t>
      </w:r>
    </w:p>
    <w:p w:rsidR="007A5DC5" w:rsidRDefault="00955E94" w:rsidP="00955E94">
      <w:pPr>
        <w:pStyle w:val="a7"/>
        <w:tabs>
          <w:tab w:val="left" w:pos="1134"/>
        </w:tabs>
        <w:spacing w:before="0" w:after="0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Этапы проведения торгов.</w:t>
      </w:r>
    </w:p>
    <w:p w:rsidR="007A5DC5" w:rsidRDefault="007A5DC5">
      <w:pPr>
        <w:pStyle w:val="a7"/>
        <w:tabs>
          <w:tab w:val="left" w:pos="1134"/>
        </w:tabs>
        <w:spacing w:before="0" w:after="0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Подача заявки на участие в торгах: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ЭТП обеспечивает для претендентов (заявителей) на участие в торгах функционал подачи заявок.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Формирование и направление заявки на участие в торгах производится претендентом в соответствии с Регламентом ЭТП, которое размещается в открытой части ЭТП.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Претендент вправе подать заявку на участие в торгах в любой момент, с даты и времени начала приема заявок и до даты и времени окончания срока подачи заявок, предусмотренных Извещением о торгах. Заявки направляются на ЭТП в форме электронных документов, подписанных с помощью ЭП.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Претендент вправе отозвать заявку на участие в процедуре не позднее окончания срока подачи заявок в соответствии с Извещением и Регламентом ЭТП, которые размещаются в открытой части ЭТП.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Рассмотрение заявок и допуск к участию в торгах: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</w:pPr>
      <w:r>
        <w:rPr>
          <w:rStyle w:val="None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:rsidR="007A5DC5" w:rsidRDefault="007A5DC5">
      <w:pPr>
        <w:pStyle w:val="Default"/>
        <w:tabs>
          <w:tab w:val="left" w:pos="1134"/>
        </w:tabs>
        <w:ind w:firstLine="709"/>
        <w:jc w:val="both"/>
      </w:pP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Претенденты не допускаются к участию в торгах в следующих случаях: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 заявка подана лицом, не уполномоченным на осуществление таких действий;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 xml:space="preserve">- предоставлены не все документы по перечню, опубликованному в Извещении; 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заявителем предоставлены недостоверные сведения;</w:t>
      </w:r>
    </w:p>
    <w:p w:rsidR="007A5DC5" w:rsidRDefault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lastRenderedPageBreak/>
        <w:t>- задаток не внесен на указанные в Извещении реквизиты, внесен не в полном размере или позже даты, указанной в Извещении;</w:t>
      </w:r>
    </w:p>
    <w:p w:rsidR="007A5DC5" w:rsidRDefault="00955E94" w:rsidP="00955E94">
      <w:pPr>
        <w:pStyle w:val="Default"/>
        <w:tabs>
          <w:tab w:val="left" w:pos="1134"/>
        </w:tabs>
        <w:ind w:left="709"/>
        <w:jc w:val="both"/>
      </w:pPr>
      <w:r>
        <w:rPr>
          <w:rStyle w:val="None"/>
        </w:rPr>
        <w:t>- не соблюдены все требования к участнику, указанные в Извещении.</w:t>
      </w:r>
    </w:p>
    <w:p w:rsidR="007A5DC5" w:rsidRDefault="00955E94">
      <w:pPr>
        <w:widowControl w:val="0"/>
        <w:tabs>
          <w:tab w:val="right" w:leader="dot" w:pos="4762"/>
        </w:tabs>
        <w:ind w:firstLine="567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торгов.</w:t>
      </w:r>
    </w:p>
    <w:p w:rsidR="007A5DC5" w:rsidRPr="00955E94" w:rsidRDefault="00955E94" w:rsidP="00955E94">
      <w:pPr>
        <w:widowControl w:val="0"/>
        <w:tabs>
          <w:tab w:val="right" w:leader="dot" w:pos="4762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>Претенденты, признанные участниками торгов, а также претенденты, не допущенные к участию в торгах, уведомляются об этом путем отправки по электронной почте в срок не позднее следующего рабочего дня с момента подписания протокола определения участников торгов.</w:t>
      </w:r>
    </w:p>
    <w:p w:rsidR="007A5DC5" w:rsidRDefault="00955E94">
      <w:pPr>
        <w:pStyle w:val="Default"/>
        <w:tabs>
          <w:tab w:val="left" w:pos="1134"/>
        </w:tabs>
        <w:ind w:firstLine="709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Порядок проведения торгов: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Извещении о проведении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Организатор торгов проводит торги, в ходе которого предложения о цене заявляются участниками торгов открыто в ходе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При подаче ценового предложения участником торгов равного начальной цене, начинаются торги на повышение начальной цены. Повышение начальной цены производится на «шаг повышения цены». 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Победителем торгов с открытой формой подачи предложений о цене признается участник торгов, предложивший максимальную цену за имущество, выставленное на торги. В случае, если на торги было допущено менее двух участников торги признаются несостоявшимися. В случае, если ни одним из участников торгов не было подано ценового предложения торги признаются несостоявшимися.</w:t>
      </w:r>
    </w:p>
    <w:p w:rsidR="007A5DC5" w:rsidRDefault="007A5DC5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</w:p>
    <w:p w:rsidR="007A5DC5" w:rsidRDefault="00955E94">
      <w:pPr>
        <w:pStyle w:val="a7"/>
        <w:tabs>
          <w:tab w:val="left" w:pos="1134"/>
        </w:tabs>
        <w:spacing w:before="0" w:after="0"/>
        <w:ind w:left="709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Порядок подведения результатов торгов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 результатам проведения торгов, Организатор торгов после окончания открытых торгов составляет, утверждает и направляет Оператору электронной площадки протокол о результатах проведения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торгов.</w:t>
      </w:r>
    </w:p>
    <w:p w:rsidR="007A5DC5" w:rsidRDefault="00955E94">
      <w:pPr>
        <w:pStyle w:val="a7"/>
        <w:tabs>
          <w:tab w:val="left" w:pos="1134"/>
        </w:tabs>
        <w:spacing w:before="0" w:after="0"/>
        <w:ind w:firstLine="709"/>
        <w:jc w:val="both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Протокол о результатах торгов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 купли-продажи имущества по итогам торгов.</w:t>
      </w:r>
    </w:p>
    <w:p w:rsidR="007A5DC5" w:rsidRDefault="007A5DC5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7A5DC5" w:rsidRDefault="00955E94">
      <w:pPr>
        <w:widowControl w:val="0"/>
        <w:tabs>
          <w:tab w:val="right" w:leader="dot" w:pos="4762"/>
        </w:tabs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/>
          <w:b/>
          <w:bCs/>
          <w:sz w:val="24"/>
          <w:szCs w:val="24"/>
        </w:rPr>
        <w:t xml:space="preserve">            Условия заключения Договора купли-продажи, условия оплаты:</w:t>
      </w:r>
    </w:p>
    <w:p w:rsidR="00D45C7D" w:rsidRPr="00BF19FF" w:rsidRDefault="00D45C7D" w:rsidP="00D45C7D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45C7D" w:rsidRPr="00BF19FF" w:rsidRDefault="00D45C7D" w:rsidP="00D45C7D">
      <w:pPr>
        <w:widowControl w:val="0"/>
        <w:tabs>
          <w:tab w:val="left" w:pos="10080"/>
        </w:tabs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Договор </w:t>
      </w:r>
      <w:r>
        <w:rPr>
          <w:rFonts w:ascii="Times New Roman" w:eastAsia="Batang" w:hAnsi="Times New Roman"/>
          <w:sz w:val="24"/>
          <w:szCs w:val="24"/>
        </w:rPr>
        <w:t>купли-продажи</w:t>
      </w:r>
      <w:r w:rsidRPr="00BF19FF">
        <w:rPr>
          <w:rFonts w:ascii="Times New Roman" w:eastAsia="Batang" w:hAnsi="Times New Roman"/>
          <w:sz w:val="24"/>
          <w:szCs w:val="24"/>
        </w:rPr>
        <w:t xml:space="preserve"> заключается между Продавцом и Победителем в течение </w:t>
      </w:r>
      <w:r>
        <w:rPr>
          <w:rFonts w:ascii="Times New Roman" w:eastAsia="Batang" w:hAnsi="Times New Roman"/>
          <w:b/>
          <w:bCs/>
          <w:sz w:val="24"/>
          <w:szCs w:val="24"/>
        </w:rPr>
        <w:t>5</w:t>
      </w:r>
      <w:r w:rsidRPr="00BF19FF">
        <w:rPr>
          <w:rFonts w:ascii="Times New Roman" w:eastAsia="Batang" w:hAnsi="Times New Roman"/>
          <w:sz w:val="24"/>
          <w:szCs w:val="24"/>
        </w:rPr>
        <w:t xml:space="preserve"> (</w:t>
      </w:r>
      <w:r>
        <w:rPr>
          <w:rFonts w:ascii="Times New Roman" w:eastAsia="Batang" w:hAnsi="Times New Roman"/>
          <w:sz w:val="24"/>
          <w:szCs w:val="24"/>
        </w:rPr>
        <w:t>пяти</w:t>
      </w:r>
      <w:r w:rsidRPr="00BF19FF">
        <w:rPr>
          <w:rFonts w:ascii="Times New Roman" w:eastAsia="Batang" w:hAnsi="Times New Roman"/>
          <w:sz w:val="24"/>
          <w:szCs w:val="24"/>
        </w:rPr>
        <w:t>)</w:t>
      </w:r>
      <w:r w:rsidRPr="00BF19FF">
        <w:rPr>
          <w:rFonts w:ascii="Times New Roman" w:eastAsia="Batang" w:hAnsi="Times New Roman"/>
          <w:b/>
          <w:sz w:val="24"/>
          <w:szCs w:val="24"/>
        </w:rPr>
        <w:t xml:space="preserve"> </w:t>
      </w:r>
      <w:r>
        <w:rPr>
          <w:rFonts w:ascii="Times New Roman" w:eastAsia="Batang" w:hAnsi="Times New Roman"/>
          <w:b/>
          <w:sz w:val="24"/>
          <w:szCs w:val="24"/>
        </w:rPr>
        <w:t>рабочих</w:t>
      </w:r>
      <w:r w:rsidRPr="00BF19FF">
        <w:rPr>
          <w:rFonts w:ascii="Times New Roman" w:eastAsia="Batang" w:hAnsi="Times New Roman"/>
          <w:b/>
          <w:sz w:val="24"/>
          <w:szCs w:val="24"/>
        </w:rPr>
        <w:t xml:space="preserve"> дней</w:t>
      </w:r>
      <w:r w:rsidRPr="00BF19FF">
        <w:rPr>
          <w:rFonts w:ascii="Times New Roman" w:eastAsia="Batang" w:hAnsi="Times New Roman"/>
          <w:sz w:val="24"/>
          <w:szCs w:val="24"/>
        </w:rPr>
        <w:t xml:space="preserve"> с даты подведения итогов торгов.</w:t>
      </w:r>
    </w:p>
    <w:p w:rsidR="00D45C7D" w:rsidRPr="00BF19FF" w:rsidRDefault="00D45C7D" w:rsidP="00D45C7D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3E243D">
        <w:rPr>
          <w:rFonts w:ascii="Times New Roman" w:eastAsia="Batang" w:hAnsi="Times New Roman"/>
          <w:b/>
          <w:sz w:val="24"/>
          <w:szCs w:val="24"/>
        </w:rPr>
        <w:t>В случае уклонения Победителя торгов от подписания договора купли-продажи,</w:t>
      </w:r>
      <w:r w:rsidRPr="00BF19FF">
        <w:rPr>
          <w:rFonts w:ascii="Times New Roman" w:eastAsia="Batang" w:hAnsi="Times New Roman"/>
          <w:sz w:val="24"/>
          <w:szCs w:val="24"/>
        </w:rPr>
        <w:t xml:space="preserve"> </w:t>
      </w:r>
      <w:r w:rsidRPr="00BF19FF">
        <w:rPr>
          <w:rFonts w:ascii="Times New Roman" w:eastAsia="Batang" w:hAnsi="Times New Roman"/>
          <w:b/>
          <w:sz w:val="24"/>
          <w:szCs w:val="24"/>
        </w:rPr>
        <w:t>он утрачивает всю сумму внесенного им задатка</w:t>
      </w:r>
      <w:r w:rsidRPr="00BF19FF">
        <w:rPr>
          <w:rFonts w:ascii="Times New Roman" w:eastAsia="Batang" w:hAnsi="Times New Roman"/>
          <w:sz w:val="24"/>
          <w:szCs w:val="24"/>
        </w:rPr>
        <w:t xml:space="preserve"> и </w:t>
      </w:r>
      <w:r w:rsidRPr="009F6FFC">
        <w:rPr>
          <w:rFonts w:ascii="Times New Roman" w:eastAsia="Batang" w:hAnsi="Times New Roman"/>
          <w:b/>
          <w:sz w:val="24"/>
          <w:szCs w:val="24"/>
        </w:rPr>
        <w:t>лишается статуса Победителя торгов.</w:t>
      </w:r>
    </w:p>
    <w:p w:rsidR="00D45C7D" w:rsidRPr="00BF19FF" w:rsidRDefault="00D45C7D" w:rsidP="00D45C7D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В случае отказа Победителя от подписания договора </w:t>
      </w:r>
      <w:r>
        <w:rPr>
          <w:rFonts w:ascii="Times New Roman" w:eastAsia="Batang" w:hAnsi="Times New Roman"/>
          <w:sz w:val="24"/>
          <w:szCs w:val="24"/>
        </w:rPr>
        <w:t>купли-продажи,</w:t>
      </w:r>
      <w:r w:rsidRPr="00BF19FF">
        <w:rPr>
          <w:rFonts w:ascii="Times New Roman" w:eastAsia="Batang" w:hAnsi="Times New Roman"/>
          <w:sz w:val="24"/>
          <w:szCs w:val="24"/>
        </w:rPr>
        <w:t xml:space="preserve"> право подписания договора переходит на участника, </w:t>
      </w:r>
      <w:r w:rsidRPr="009F6FFC">
        <w:rPr>
          <w:rFonts w:ascii="Times New Roman" w:eastAsia="Batang" w:hAnsi="Times New Roman"/>
          <w:b/>
          <w:sz w:val="24"/>
          <w:szCs w:val="24"/>
        </w:rPr>
        <w:t>занявшего второе место</w:t>
      </w:r>
      <w:r w:rsidRPr="00BF19FF">
        <w:rPr>
          <w:rFonts w:ascii="Times New Roman" w:eastAsia="Batang" w:hAnsi="Times New Roman"/>
          <w:sz w:val="24"/>
          <w:szCs w:val="24"/>
        </w:rPr>
        <w:t xml:space="preserve">. </w:t>
      </w:r>
    </w:p>
    <w:p w:rsidR="009F6FFC" w:rsidRDefault="00D45C7D" w:rsidP="00D45C7D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Цена договора </w:t>
      </w:r>
      <w:r>
        <w:rPr>
          <w:rFonts w:ascii="Times New Roman" w:eastAsia="Batang" w:hAnsi="Times New Roman"/>
          <w:sz w:val="24"/>
          <w:szCs w:val="24"/>
        </w:rPr>
        <w:t>купли-продажи</w:t>
      </w:r>
      <w:r w:rsidRPr="00BF19FF">
        <w:rPr>
          <w:rFonts w:ascii="Times New Roman" w:eastAsia="Batang" w:hAnsi="Times New Roman"/>
          <w:sz w:val="24"/>
          <w:szCs w:val="24"/>
        </w:rPr>
        <w:t xml:space="preserve"> устанавливается в размере максимального предложения, сделанного данным участником. Договор </w:t>
      </w:r>
      <w:r>
        <w:rPr>
          <w:rFonts w:ascii="Times New Roman" w:eastAsia="Batang" w:hAnsi="Times New Roman"/>
          <w:sz w:val="24"/>
          <w:szCs w:val="24"/>
        </w:rPr>
        <w:t>купли-продажи</w:t>
      </w:r>
      <w:r w:rsidRPr="00BF19FF">
        <w:rPr>
          <w:rFonts w:ascii="Times New Roman" w:eastAsia="Batang" w:hAnsi="Times New Roman"/>
          <w:sz w:val="24"/>
          <w:szCs w:val="24"/>
        </w:rPr>
        <w:t xml:space="preserve"> заключается в течении </w:t>
      </w:r>
      <w:r>
        <w:rPr>
          <w:rFonts w:ascii="Times New Roman" w:eastAsia="Batang" w:hAnsi="Times New Roman"/>
          <w:sz w:val="24"/>
          <w:szCs w:val="24"/>
        </w:rPr>
        <w:t>5</w:t>
      </w:r>
      <w:r w:rsidRPr="00BF19FF">
        <w:rPr>
          <w:rFonts w:ascii="Times New Roman" w:eastAsia="Batang" w:hAnsi="Times New Roman"/>
          <w:sz w:val="24"/>
          <w:szCs w:val="24"/>
        </w:rPr>
        <w:t xml:space="preserve"> (</w:t>
      </w:r>
      <w:r>
        <w:rPr>
          <w:rFonts w:ascii="Times New Roman" w:eastAsia="Batang" w:hAnsi="Times New Roman"/>
          <w:sz w:val="24"/>
          <w:szCs w:val="24"/>
        </w:rPr>
        <w:t>пяти</w:t>
      </w:r>
      <w:r w:rsidRPr="00BF19FF">
        <w:rPr>
          <w:rFonts w:ascii="Times New Roman" w:eastAsia="Batang" w:hAnsi="Times New Roman"/>
          <w:sz w:val="24"/>
          <w:szCs w:val="24"/>
        </w:rPr>
        <w:t xml:space="preserve">) </w:t>
      </w:r>
      <w:r>
        <w:rPr>
          <w:rFonts w:ascii="Times New Roman" w:eastAsia="Batang" w:hAnsi="Times New Roman"/>
          <w:sz w:val="24"/>
          <w:szCs w:val="24"/>
        </w:rPr>
        <w:t>рабочих</w:t>
      </w:r>
      <w:r w:rsidRPr="00BF19FF">
        <w:rPr>
          <w:rFonts w:ascii="Times New Roman" w:eastAsia="Batang" w:hAnsi="Times New Roman"/>
          <w:sz w:val="24"/>
          <w:szCs w:val="24"/>
        </w:rPr>
        <w:t xml:space="preserve"> дней с момента уведомления участника, занявшего второе место, о необходимости заключения договора. </w:t>
      </w:r>
      <w:r w:rsidRPr="009F6FFC">
        <w:rPr>
          <w:rFonts w:ascii="Times New Roman" w:eastAsia="Batang" w:hAnsi="Times New Roman"/>
          <w:b/>
          <w:sz w:val="24"/>
          <w:szCs w:val="24"/>
        </w:rPr>
        <w:t>В случае его отказа от подписания договора купли-продажи, он</w:t>
      </w:r>
      <w:r w:rsidRPr="00BF19FF">
        <w:rPr>
          <w:rFonts w:ascii="Times New Roman" w:eastAsia="Batang" w:hAnsi="Times New Roman"/>
          <w:sz w:val="24"/>
          <w:szCs w:val="24"/>
        </w:rPr>
        <w:t xml:space="preserve"> </w:t>
      </w:r>
      <w:r w:rsidRPr="00BF19FF">
        <w:rPr>
          <w:rFonts w:ascii="Times New Roman" w:eastAsia="Batang" w:hAnsi="Times New Roman"/>
          <w:b/>
          <w:sz w:val="24"/>
          <w:szCs w:val="24"/>
        </w:rPr>
        <w:t>утрачивает сумму внесенного им задатка</w:t>
      </w:r>
      <w:r w:rsidR="003E243D">
        <w:rPr>
          <w:rFonts w:ascii="Times New Roman" w:eastAsia="Batang" w:hAnsi="Times New Roman"/>
          <w:b/>
          <w:sz w:val="24"/>
          <w:szCs w:val="24"/>
        </w:rPr>
        <w:t>.</w:t>
      </w:r>
    </w:p>
    <w:p w:rsidR="00D45C7D" w:rsidRPr="00BF19FF" w:rsidRDefault="00D45C7D" w:rsidP="00D45C7D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F19FF">
        <w:rPr>
          <w:rFonts w:ascii="Times New Roman" w:eastAsia="Batang" w:hAnsi="Times New Roman"/>
          <w:sz w:val="24"/>
          <w:szCs w:val="24"/>
        </w:rPr>
        <w:t xml:space="preserve">. </w:t>
      </w:r>
    </w:p>
    <w:p w:rsidR="00FA67F6" w:rsidRDefault="00D45C7D" w:rsidP="009F6FFC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456CF3">
        <w:rPr>
          <w:rFonts w:ascii="Times New Roman" w:hAnsi="Times New Roman"/>
          <w:spacing w:val="-8"/>
          <w:sz w:val="24"/>
          <w:szCs w:val="24"/>
        </w:rPr>
        <w:t xml:space="preserve">В случае подписания договора </w:t>
      </w:r>
      <w:r w:rsidR="00FA67F6">
        <w:rPr>
          <w:rFonts w:ascii="Times New Roman" w:hAnsi="Times New Roman"/>
          <w:spacing w:val="-8"/>
          <w:sz w:val="24"/>
          <w:szCs w:val="24"/>
        </w:rPr>
        <w:t>купли-продажи</w:t>
      </w:r>
      <w:r w:rsidRPr="00456CF3">
        <w:rPr>
          <w:rFonts w:ascii="Times New Roman" w:hAnsi="Times New Roman"/>
          <w:spacing w:val="-8"/>
          <w:sz w:val="24"/>
          <w:szCs w:val="24"/>
        </w:rPr>
        <w:t xml:space="preserve"> задатки участников, до которых не дошла очередь подписания договора </w:t>
      </w:r>
      <w:r w:rsidR="00FA67F6">
        <w:rPr>
          <w:rFonts w:ascii="Times New Roman" w:hAnsi="Times New Roman"/>
          <w:spacing w:val="-8"/>
          <w:sz w:val="24"/>
          <w:szCs w:val="24"/>
        </w:rPr>
        <w:t>купли-продажи</w:t>
      </w:r>
      <w:r w:rsidRPr="00456CF3">
        <w:rPr>
          <w:rFonts w:ascii="Times New Roman" w:hAnsi="Times New Roman"/>
          <w:spacing w:val="-8"/>
          <w:sz w:val="24"/>
          <w:szCs w:val="24"/>
        </w:rPr>
        <w:t xml:space="preserve">, возвращаются участникам Организатором торгов на реквизиты, указанные в Договоре о задатке. </w:t>
      </w:r>
    </w:p>
    <w:p w:rsidR="009F6FFC" w:rsidRPr="00456CF3" w:rsidRDefault="009F6FFC" w:rsidP="009F6FFC">
      <w:pPr>
        <w:tabs>
          <w:tab w:val="num" w:pos="360"/>
          <w:tab w:val="num" w:pos="495"/>
          <w:tab w:val="num" w:pos="9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A67F6" w:rsidRDefault="00D45C7D" w:rsidP="009F6FFC">
      <w:pPr>
        <w:spacing w:after="0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456CF3">
        <w:rPr>
          <w:rFonts w:ascii="Times New Roman" w:eastAsia="Batang" w:hAnsi="Times New Roman"/>
          <w:sz w:val="24"/>
          <w:szCs w:val="24"/>
        </w:rPr>
        <w:t xml:space="preserve">В случае, если по окончанию срока приема заявок на участие в торгах, подана только одна заявка и (или) по результатам рассмотрения заявок только один заявитель признан участником торгов, торги признаются несостоявшимися. В этом случае Продавец </w:t>
      </w:r>
      <w:r w:rsidRPr="009F6FFC">
        <w:rPr>
          <w:rFonts w:ascii="Times New Roman" w:eastAsia="Batang" w:hAnsi="Times New Roman"/>
          <w:b/>
          <w:sz w:val="24"/>
          <w:szCs w:val="24"/>
        </w:rPr>
        <w:t>вправе</w:t>
      </w:r>
      <w:r w:rsidRPr="00456CF3">
        <w:rPr>
          <w:rFonts w:ascii="Times New Roman" w:eastAsia="Batang" w:hAnsi="Times New Roman"/>
          <w:sz w:val="24"/>
          <w:szCs w:val="24"/>
        </w:rPr>
        <w:t xml:space="preserve"> направить такому участнику предложение о заключении </w:t>
      </w:r>
      <w:r w:rsidR="00FA67F6">
        <w:rPr>
          <w:rFonts w:ascii="Times New Roman" w:eastAsia="Batang" w:hAnsi="Times New Roman"/>
          <w:sz w:val="24"/>
          <w:szCs w:val="24"/>
        </w:rPr>
        <w:t>договора</w:t>
      </w:r>
      <w:r w:rsidRPr="00456CF3">
        <w:rPr>
          <w:rFonts w:ascii="Times New Roman" w:eastAsia="Batang" w:hAnsi="Times New Roman"/>
          <w:sz w:val="24"/>
          <w:szCs w:val="24"/>
        </w:rPr>
        <w:t xml:space="preserve"> п</w:t>
      </w:r>
      <w:r w:rsidR="00FA67F6">
        <w:rPr>
          <w:rFonts w:ascii="Times New Roman" w:eastAsia="Batang" w:hAnsi="Times New Roman"/>
          <w:sz w:val="24"/>
          <w:szCs w:val="24"/>
        </w:rPr>
        <w:t>о цене, предложенной участником, но не ниже начальной цены</w:t>
      </w:r>
      <w:r w:rsidRPr="00456CF3">
        <w:rPr>
          <w:rFonts w:ascii="Times New Roman" w:eastAsia="Batang" w:hAnsi="Times New Roman"/>
          <w:b/>
          <w:sz w:val="24"/>
          <w:szCs w:val="24"/>
        </w:rPr>
        <w:t>.</w:t>
      </w:r>
      <w:r w:rsidRPr="00456CF3">
        <w:rPr>
          <w:rFonts w:ascii="Times New Roman" w:eastAsia="Batang" w:hAnsi="Times New Roman"/>
          <w:sz w:val="24"/>
          <w:szCs w:val="24"/>
        </w:rPr>
        <w:t xml:space="preserve"> Договор </w:t>
      </w:r>
      <w:r w:rsidR="00FA67F6">
        <w:rPr>
          <w:rFonts w:ascii="Times New Roman" w:eastAsia="Batang" w:hAnsi="Times New Roman"/>
          <w:sz w:val="24"/>
          <w:szCs w:val="24"/>
        </w:rPr>
        <w:t>купли-продажи</w:t>
      </w:r>
      <w:r w:rsidRPr="00456CF3">
        <w:rPr>
          <w:rFonts w:ascii="Times New Roman" w:eastAsia="Batang" w:hAnsi="Times New Roman"/>
          <w:sz w:val="24"/>
          <w:szCs w:val="24"/>
        </w:rPr>
        <w:t xml:space="preserve"> с единственным участником </w:t>
      </w:r>
      <w:r w:rsidR="00FA67F6">
        <w:rPr>
          <w:rFonts w:ascii="Times New Roman" w:eastAsia="Batang" w:hAnsi="Times New Roman"/>
          <w:sz w:val="24"/>
          <w:szCs w:val="24"/>
        </w:rPr>
        <w:t>может</w:t>
      </w:r>
      <w:r w:rsidRPr="00456CF3">
        <w:rPr>
          <w:rFonts w:ascii="Times New Roman" w:eastAsia="Batang" w:hAnsi="Times New Roman"/>
          <w:sz w:val="24"/>
          <w:szCs w:val="24"/>
        </w:rPr>
        <w:t xml:space="preserve"> быть заключен, в течение </w:t>
      </w:r>
      <w:r w:rsidR="00FA67F6">
        <w:rPr>
          <w:rFonts w:ascii="Times New Roman" w:eastAsia="Batang" w:hAnsi="Times New Roman"/>
          <w:b/>
          <w:sz w:val="24"/>
          <w:szCs w:val="24"/>
        </w:rPr>
        <w:t>5</w:t>
      </w:r>
      <w:r w:rsidRPr="00456CF3">
        <w:rPr>
          <w:rFonts w:ascii="Times New Roman" w:eastAsia="Batang" w:hAnsi="Times New Roman"/>
          <w:b/>
          <w:sz w:val="24"/>
          <w:szCs w:val="24"/>
        </w:rPr>
        <w:t xml:space="preserve"> (</w:t>
      </w:r>
      <w:r w:rsidR="00FA67F6">
        <w:rPr>
          <w:rFonts w:ascii="Times New Roman" w:eastAsia="Batang" w:hAnsi="Times New Roman"/>
          <w:b/>
          <w:sz w:val="24"/>
          <w:szCs w:val="24"/>
        </w:rPr>
        <w:t>пяти</w:t>
      </w:r>
      <w:r w:rsidRPr="00456CF3">
        <w:rPr>
          <w:rFonts w:ascii="Times New Roman" w:eastAsia="Batang" w:hAnsi="Times New Roman"/>
          <w:b/>
          <w:sz w:val="24"/>
          <w:szCs w:val="24"/>
        </w:rPr>
        <w:t xml:space="preserve">) </w:t>
      </w:r>
      <w:r w:rsidR="00FA67F6">
        <w:rPr>
          <w:rFonts w:ascii="Times New Roman" w:eastAsia="Batang" w:hAnsi="Times New Roman"/>
          <w:b/>
          <w:sz w:val="24"/>
          <w:szCs w:val="24"/>
        </w:rPr>
        <w:t>рабочи</w:t>
      </w:r>
      <w:r w:rsidRPr="00456CF3">
        <w:rPr>
          <w:rFonts w:ascii="Times New Roman" w:eastAsia="Batang" w:hAnsi="Times New Roman"/>
          <w:b/>
          <w:sz w:val="24"/>
          <w:szCs w:val="24"/>
        </w:rPr>
        <w:t>х дней</w:t>
      </w:r>
      <w:r w:rsidRPr="00456CF3">
        <w:rPr>
          <w:rFonts w:ascii="Times New Roman" w:eastAsia="Batang" w:hAnsi="Times New Roman"/>
          <w:sz w:val="24"/>
          <w:szCs w:val="24"/>
        </w:rPr>
        <w:t xml:space="preserve"> с даты подведения итогов торгов. Задаток единственного участника </w:t>
      </w:r>
      <w:r w:rsidR="009F6FFC">
        <w:rPr>
          <w:rFonts w:ascii="Times New Roman" w:eastAsia="Batang" w:hAnsi="Times New Roman"/>
          <w:sz w:val="24"/>
          <w:szCs w:val="24"/>
        </w:rPr>
        <w:t>возвращается на реквизиты, указанные участником в Договоре о задатке в течение 5 (пяти) рабочих дней с даты подведения итогов торгов</w:t>
      </w:r>
      <w:r w:rsidR="00FA67F6">
        <w:rPr>
          <w:rFonts w:ascii="Times New Roman" w:eastAsia="Batang" w:hAnsi="Times New Roman"/>
          <w:sz w:val="24"/>
          <w:szCs w:val="24"/>
        </w:rPr>
        <w:t xml:space="preserve">. </w:t>
      </w:r>
    </w:p>
    <w:p w:rsidR="009F6FFC" w:rsidRPr="00B2134D" w:rsidRDefault="009F6FFC" w:rsidP="009F6FFC">
      <w:pPr>
        <w:spacing w:after="0"/>
        <w:ind w:firstLine="709"/>
        <w:jc w:val="both"/>
        <w:rPr>
          <w:rFonts w:ascii="Times New Roman" w:eastAsia="Batang" w:hAnsi="Times New Roman"/>
          <w:sz w:val="24"/>
          <w:szCs w:val="24"/>
        </w:rPr>
      </w:pPr>
    </w:p>
    <w:p w:rsidR="00D45C7D" w:rsidRPr="00BF19FF" w:rsidRDefault="00D45C7D" w:rsidP="00D45C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9FF">
        <w:rPr>
          <w:rFonts w:ascii="Times New Roman" w:hAnsi="Times New Roman"/>
          <w:sz w:val="24"/>
          <w:szCs w:val="24"/>
        </w:rPr>
        <w:t xml:space="preserve">Оплата цены продажи </w:t>
      </w:r>
      <w:r w:rsidR="00FA67F6">
        <w:rPr>
          <w:rFonts w:ascii="Times New Roman" w:hAnsi="Times New Roman"/>
          <w:sz w:val="24"/>
          <w:szCs w:val="24"/>
        </w:rPr>
        <w:t>имущества</w:t>
      </w:r>
      <w:r w:rsidRPr="00BF19FF">
        <w:rPr>
          <w:rFonts w:ascii="Times New Roman" w:hAnsi="Times New Roman"/>
          <w:sz w:val="24"/>
          <w:szCs w:val="24"/>
        </w:rPr>
        <w:t xml:space="preserve">, за вычетом ранее внесенного задатка, производится Покупателем на счет Продавца, в </w:t>
      </w:r>
      <w:r w:rsidR="00FA67F6">
        <w:rPr>
          <w:rFonts w:ascii="Times New Roman" w:hAnsi="Times New Roman"/>
          <w:sz w:val="24"/>
          <w:szCs w:val="24"/>
        </w:rPr>
        <w:t>течение 30 (тридцати) календарных дней с даты подписания договора купли-продажи</w:t>
      </w:r>
      <w:r w:rsidRPr="00BF19FF">
        <w:rPr>
          <w:rFonts w:ascii="Times New Roman" w:hAnsi="Times New Roman"/>
          <w:sz w:val="24"/>
          <w:szCs w:val="24"/>
        </w:rPr>
        <w:t>.</w:t>
      </w:r>
    </w:p>
    <w:p w:rsidR="00FA67F6" w:rsidRPr="00BF19FF" w:rsidRDefault="00D45C7D" w:rsidP="009F6F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F19FF">
        <w:rPr>
          <w:rFonts w:ascii="Times New Roman" w:eastAsia="Times New Roman" w:hAnsi="Times New Roman"/>
          <w:sz w:val="24"/>
          <w:szCs w:val="24"/>
        </w:rPr>
        <w:t xml:space="preserve">Переход права собственности на </w:t>
      </w:r>
      <w:r w:rsidR="00FA67F6">
        <w:rPr>
          <w:rFonts w:ascii="Times New Roman" w:eastAsia="Times New Roman" w:hAnsi="Times New Roman"/>
          <w:sz w:val="24"/>
          <w:szCs w:val="24"/>
        </w:rPr>
        <w:t>имущество</w:t>
      </w:r>
      <w:r w:rsidRPr="00BF19FF">
        <w:rPr>
          <w:rFonts w:ascii="Times New Roman" w:eastAsia="Times New Roman" w:hAnsi="Times New Roman"/>
          <w:sz w:val="24"/>
          <w:szCs w:val="24"/>
        </w:rPr>
        <w:t xml:space="preserve"> от Продавца к Покупателю осуществляется в п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FA67F6">
        <w:rPr>
          <w:rFonts w:ascii="Times New Roman" w:eastAsia="Times New Roman" w:hAnsi="Times New Roman"/>
          <w:sz w:val="24"/>
          <w:szCs w:val="24"/>
        </w:rPr>
        <w:t>рядке и сроки согласно договору купли-продажи.</w:t>
      </w:r>
    </w:p>
    <w:p w:rsidR="00D45C7D" w:rsidRDefault="00D45C7D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F6FFC">
        <w:rPr>
          <w:rFonts w:ascii="Times New Roman" w:eastAsia="Times New Roman" w:hAnsi="Times New Roman"/>
          <w:sz w:val="24"/>
          <w:szCs w:val="24"/>
        </w:rPr>
        <w:t>Задаток Покупателя, перечисленный для участия в торгах, засчитывается в счет оплаты</w:t>
      </w:r>
      <w:r w:rsidR="00FA67F6" w:rsidRPr="009F6FFC">
        <w:rPr>
          <w:rFonts w:ascii="Times New Roman" w:eastAsia="Times New Roman" w:hAnsi="Times New Roman"/>
          <w:sz w:val="24"/>
          <w:szCs w:val="24"/>
        </w:rPr>
        <w:t xml:space="preserve"> имущества</w:t>
      </w:r>
      <w:r w:rsidRPr="009F6FFC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F6FFC" w:rsidRPr="009F6FFC" w:rsidRDefault="009F6FFC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5C7D" w:rsidRPr="00FA67F6" w:rsidRDefault="00D45C7D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A67F6">
        <w:rPr>
          <w:rFonts w:ascii="Times New Roman" w:eastAsia="Times New Roman" w:hAnsi="Times New Roman"/>
          <w:b/>
          <w:sz w:val="24"/>
          <w:szCs w:val="24"/>
        </w:rPr>
        <w:t xml:space="preserve">В случае </w:t>
      </w:r>
      <w:r w:rsidR="009F6FFC">
        <w:rPr>
          <w:rFonts w:ascii="Times New Roman" w:eastAsia="Times New Roman" w:hAnsi="Times New Roman"/>
          <w:b/>
          <w:sz w:val="24"/>
          <w:szCs w:val="24"/>
        </w:rPr>
        <w:t>уклонения (отказа) Победителя или участника, занявшего второе место</w:t>
      </w:r>
      <w:r w:rsidR="00FA67F6" w:rsidRPr="00FA67F6">
        <w:rPr>
          <w:rFonts w:ascii="Times New Roman" w:eastAsia="Times New Roman" w:hAnsi="Times New Roman"/>
          <w:b/>
          <w:sz w:val="24"/>
          <w:szCs w:val="24"/>
        </w:rPr>
        <w:t xml:space="preserve"> от подписания договора купли-продажи</w:t>
      </w:r>
      <w:r w:rsidRPr="00FA67F6">
        <w:rPr>
          <w:rFonts w:ascii="Times New Roman" w:eastAsia="Times New Roman" w:hAnsi="Times New Roman"/>
          <w:b/>
          <w:sz w:val="24"/>
          <w:szCs w:val="24"/>
        </w:rPr>
        <w:t>, он лишается права на приобретение</w:t>
      </w:r>
      <w:r w:rsidR="00FA67F6" w:rsidRPr="00FA67F6">
        <w:rPr>
          <w:rFonts w:ascii="Times New Roman" w:eastAsia="Times New Roman" w:hAnsi="Times New Roman"/>
          <w:b/>
          <w:sz w:val="24"/>
          <w:szCs w:val="24"/>
        </w:rPr>
        <w:t xml:space="preserve"> имущества</w:t>
      </w:r>
      <w:r w:rsidRPr="00FA67F6">
        <w:rPr>
          <w:rFonts w:ascii="Times New Roman" w:eastAsia="Times New Roman" w:hAnsi="Times New Roman"/>
          <w:b/>
          <w:sz w:val="24"/>
          <w:szCs w:val="24"/>
        </w:rPr>
        <w:t>, сумма внесенного им</w:t>
      </w:r>
      <w:r w:rsidR="00BD137B">
        <w:rPr>
          <w:rFonts w:ascii="Times New Roman" w:eastAsia="Times New Roman" w:hAnsi="Times New Roman"/>
          <w:b/>
          <w:sz w:val="24"/>
          <w:szCs w:val="24"/>
        </w:rPr>
        <w:t>и</w:t>
      </w:r>
      <w:r w:rsidRPr="00FA67F6">
        <w:rPr>
          <w:rFonts w:ascii="Times New Roman" w:eastAsia="Times New Roman" w:hAnsi="Times New Roman"/>
          <w:b/>
          <w:sz w:val="24"/>
          <w:szCs w:val="24"/>
        </w:rPr>
        <w:t xml:space="preserve"> задатка не возвращается. </w:t>
      </w:r>
    </w:p>
    <w:p w:rsidR="00FA67F6" w:rsidRPr="00BF19FF" w:rsidRDefault="00FA67F6" w:rsidP="00D45C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5C7D" w:rsidRPr="00CA3F53" w:rsidRDefault="00D45C7D" w:rsidP="00D45C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19FF">
        <w:rPr>
          <w:rFonts w:ascii="Times New Roman" w:hAnsi="Times New Roman"/>
          <w:sz w:val="24"/>
          <w:szCs w:val="24"/>
        </w:rPr>
        <w:t xml:space="preserve">Задатки участникам не ставшими Победителями и не занявшими второе место по предложенной ими в ходе торгов цене </w:t>
      </w:r>
      <w:r w:rsidR="009F6FFC">
        <w:rPr>
          <w:rFonts w:ascii="Times New Roman" w:hAnsi="Times New Roman"/>
          <w:sz w:val="24"/>
          <w:szCs w:val="24"/>
        </w:rPr>
        <w:t>имущества</w:t>
      </w:r>
      <w:r w:rsidRPr="00BF19FF">
        <w:rPr>
          <w:rFonts w:ascii="Times New Roman" w:hAnsi="Times New Roman"/>
          <w:sz w:val="24"/>
          <w:szCs w:val="24"/>
        </w:rPr>
        <w:t>, возвращаются в течении 5 (пяти) рабочих дней, с даты подведения итогов торгов.</w:t>
      </w:r>
    </w:p>
    <w:p w:rsidR="007A5DC5" w:rsidRDefault="007A5DC5" w:rsidP="00D45C7D">
      <w:pPr>
        <w:spacing w:after="0" w:line="240" w:lineRule="auto"/>
        <w:ind w:firstLine="709"/>
        <w:jc w:val="both"/>
      </w:pPr>
    </w:p>
    <w:sectPr w:rsidR="007A5D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567" w:right="567" w:bottom="96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29" w:rsidRDefault="00955E94">
      <w:pPr>
        <w:spacing w:after="0" w:line="240" w:lineRule="auto"/>
      </w:pPr>
      <w:r>
        <w:separator/>
      </w:r>
    </w:p>
  </w:endnote>
  <w:endnote w:type="continuationSeparator" w:id="0">
    <w:p w:rsidR="00F13D29" w:rsidRDefault="0095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29" w:rsidRDefault="00955E94">
      <w:pPr>
        <w:spacing w:after="0" w:line="240" w:lineRule="auto"/>
      </w:pPr>
      <w:r>
        <w:separator/>
      </w:r>
    </w:p>
  </w:footnote>
  <w:footnote w:type="continuationSeparator" w:id="0">
    <w:p w:rsidR="00F13D29" w:rsidRDefault="0095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955E94">
    <w:pPr>
      <w:pStyle w:val="a4"/>
      <w:jc w:val="center"/>
    </w:pPr>
    <w:r>
      <w:rPr>
        <w:rStyle w:val="None"/>
      </w:rPr>
      <w:fldChar w:fldCharType="begin"/>
    </w:r>
    <w:r>
      <w:rPr>
        <w:rStyle w:val="None"/>
      </w:rPr>
      <w:instrText xml:space="preserve"> PAGE </w:instrText>
    </w:r>
    <w:r>
      <w:rPr>
        <w:rStyle w:val="None"/>
      </w:rPr>
      <w:fldChar w:fldCharType="separate"/>
    </w:r>
    <w:r w:rsidR="003363FA">
      <w:rPr>
        <w:rStyle w:val="None"/>
        <w:noProof/>
      </w:rPr>
      <w:t>4</w:t>
    </w:r>
    <w:r>
      <w:rPr>
        <w:rStyle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DC5" w:rsidRDefault="007A5D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C5"/>
    <w:rsid w:val="000B5DCF"/>
    <w:rsid w:val="001D37D6"/>
    <w:rsid w:val="00281C7D"/>
    <w:rsid w:val="003363FA"/>
    <w:rsid w:val="003B6860"/>
    <w:rsid w:val="003D4B68"/>
    <w:rsid w:val="003E243D"/>
    <w:rsid w:val="004A19D3"/>
    <w:rsid w:val="005B5730"/>
    <w:rsid w:val="006737D1"/>
    <w:rsid w:val="00683058"/>
    <w:rsid w:val="006F768C"/>
    <w:rsid w:val="007A160F"/>
    <w:rsid w:val="007A5DC5"/>
    <w:rsid w:val="008912C0"/>
    <w:rsid w:val="008917E3"/>
    <w:rsid w:val="008A75C7"/>
    <w:rsid w:val="00902FA5"/>
    <w:rsid w:val="00955E94"/>
    <w:rsid w:val="009F6FFC"/>
    <w:rsid w:val="00A73CDE"/>
    <w:rsid w:val="00BD137B"/>
    <w:rsid w:val="00C057FA"/>
    <w:rsid w:val="00C30C9F"/>
    <w:rsid w:val="00CD68D2"/>
    <w:rsid w:val="00CD736F"/>
    <w:rsid w:val="00D45C7D"/>
    <w:rsid w:val="00E203F8"/>
    <w:rsid w:val="00F13D29"/>
    <w:rsid w:val="00F15E4E"/>
    <w:rsid w:val="00F2094A"/>
    <w:rsid w:val="00FA67F6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71344-1C9D-4EC3-ADD8-C5D6D19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vps48222">
    <w:name w:val="rvps48222"/>
    <w:pPr>
      <w:spacing w:after="150"/>
      <w:jc w:val="right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customStyle="1" w:styleId="Default">
    <w:name w:val="Default"/>
    <w:pPr>
      <w:spacing w:after="200" w:line="276" w:lineRule="auto"/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a6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3">
    <w:name w:val="Hyperlink.3"/>
    <w:basedOn w:val="None"/>
    <w:rPr>
      <w:outline w:val="0"/>
      <w:color w:val="0000FF"/>
      <w:u w:val="single" w:color="0000FF"/>
      <w:lang w:val="ru-RU"/>
    </w:rPr>
  </w:style>
  <w:style w:type="paragraph" w:customStyle="1" w:styleId="a7">
    <w:name w:val="Т Обычный"/>
    <w:pPr>
      <w:spacing w:before="60" w:after="60"/>
    </w:pPr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nistp.ru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rade@asset-m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istp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ade@asset-m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</cp:lastModifiedBy>
  <cp:revision>26</cp:revision>
  <dcterms:created xsi:type="dcterms:W3CDTF">2024-12-24T10:20:00Z</dcterms:created>
  <dcterms:modified xsi:type="dcterms:W3CDTF">2025-03-21T10:30:00Z</dcterms:modified>
</cp:coreProperties>
</file>