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28"/>
          <w:szCs w:val="28"/>
        </w:rPr>
        <w:pBdr>
          <w:bottom w:val="single" w:color="000000" w:sz="4" w:space="1"/>
        </w:pBdr>
      </w:pPr>
      <w:r>
        <w:rPr>
          <w:b/>
          <w:sz w:val="28"/>
          <w:szCs w:val="28"/>
        </w:rPr>
        <w:t xml:space="preserve">Финансовый управляющий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  <w:pBdr>
          <w:bottom w:val="single" w:color="000000" w:sz="4" w:space="1"/>
        </w:pBdr>
      </w:pPr>
      <w:r>
        <w:rPr>
          <w:b/>
          <w:sz w:val="28"/>
          <w:szCs w:val="28"/>
        </w:rPr>
        <w:t xml:space="preserve">Бекбаевой Ульмикен Роллановны</w:t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  <w:pBdr>
          <w:bottom w:val="single" w:color="000000" w:sz="4" w:space="1"/>
        </w:pBdr>
      </w:pPr>
      <w:r>
        <w:rPr>
          <w:b/>
          <w:sz w:val="28"/>
          <w:szCs w:val="28"/>
        </w:rPr>
        <w:t xml:space="preserve">Архипов Константин Олегович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0"/>
          <w:szCs w:val="20"/>
        </w:rPr>
        <w:pBdr>
          <w:bottom w:val="single" w:color="000000" w:sz="4" w:space="1"/>
        </w:pBdr>
      </w:pPr>
      <w:r>
        <w:rPr>
          <w:sz w:val="20"/>
          <w:szCs w:val="20"/>
          <w:lang w:val="en-US"/>
        </w:rPr>
        <w:t xml:space="preserve">E</w:t>
      </w:r>
      <w:r>
        <w:rPr>
          <w:sz w:val="20"/>
          <w:szCs w:val="20"/>
          <w:lang w:val="en-US"/>
        </w:rPr>
        <w:t xml:space="preserve">-</w:t>
      </w:r>
      <w:r>
        <w:rPr>
          <w:sz w:val="20"/>
          <w:szCs w:val="20"/>
          <w:lang w:val="en-US"/>
        </w:rPr>
        <w:t xml:space="preserve">mail: 220046</w:t>
      </w:r>
      <w:r>
        <w:rPr>
          <w:sz w:val="20"/>
          <w:szCs w:val="20"/>
          <w:lang w:val="en-US"/>
        </w:rPr>
        <w:t xml:space="preserve">@</w:t>
      </w:r>
      <w:r>
        <w:rPr>
          <w:sz w:val="20"/>
          <w:szCs w:val="20"/>
          <w:lang w:val="en-US"/>
        </w:rPr>
        <w:t xml:space="preserve">list</w:t>
      </w:r>
      <w:r>
        <w:rPr>
          <w:sz w:val="20"/>
          <w:szCs w:val="20"/>
          <w:lang w:val="en-US"/>
        </w:rPr>
        <w:t xml:space="preserve">.</w:t>
      </w:r>
      <w:r>
        <w:rPr>
          <w:sz w:val="20"/>
          <w:szCs w:val="20"/>
          <w:lang w:val="en-US"/>
        </w:rPr>
        <w:t xml:space="preserve">ru</w:t>
      </w:r>
      <w:r>
        <w:rPr>
          <w:sz w:val="20"/>
          <w:szCs w:val="20"/>
          <w:lang w:val="en-US"/>
        </w:rPr>
        <w:t xml:space="preserve">, </w:t>
      </w:r>
      <w:r>
        <w:rPr>
          <w:sz w:val="20"/>
          <w:szCs w:val="20"/>
        </w:rPr>
        <w:t xml:space="preserve">тел</w:t>
      </w:r>
      <w:r>
        <w:rPr>
          <w:sz w:val="20"/>
          <w:szCs w:val="20"/>
          <w:lang w:val="en-US"/>
        </w:rPr>
        <w:t xml:space="preserve">. </w:t>
      </w:r>
      <w:r>
        <w:rPr>
          <w:sz w:val="20"/>
          <w:szCs w:val="20"/>
        </w:rPr>
        <w:t xml:space="preserve">(3532) 43 07 47, адрес для почтовой корреспонденции: 460000, Оренбург, ул. Кирова, 16, а/я № 3013, </w:t>
      </w:r>
      <w:r>
        <w:rPr>
          <w:b/>
          <w:sz w:val="20"/>
          <w:szCs w:val="20"/>
        </w:rPr>
        <w:t xml:space="preserve">Дело №</w:t>
      </w:r>
      <w:r>
        <w:rPr>
          <w:sz w:val="20"/>
          <w:szCs w:val="20"/>
        </w:rPr>
        <w:t xml:space="preserve">А47-5552/2024 в производстве Арбитражного суда Оренбургской области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b/>
          <w:sz w:val="23"/>
          <w:szCs w:val="23"/>
        </w:rPr>
      </w:pPr>
      <w:r>
        <w:rPr>
          <w:b/>
          <w:sz w:val="23"/>
          <w:szCs w:val="23"/>
        </w:rPr>
      </w:r>
      <w:r>
        <w:rPr>
          <w:b/>
          <w:sz w:val="23"/>
          <w:szCs w:val="23"/>
        </w:rPr>
      </w:r>
      <w:r>
        <w:rPr>
          <w:b/>
          <w:sz w:val="23"/>
          <w:szCs w:val="23"/>
        </w:rPr>
      </w:r>
    </w:p>
    <w:p>
      <w:pPr>
        <w:jc w:val="center"/>
        <w:tabs>
          <w:tab w:val="left" w:pos="5340" w:leader="none"/>
        </w:tabs>
        <w:rPr>
          <w:b/>
          <w:szCs w:val="23"/>
        </w:rPr>
      </w:pPr>
      <w:r>
        <w:rPr>
          <w:b/>
          <w:szCs w:val="23"/>
        </w:rPr>
        <w:t xml:space="preserve">Положение</w:t>
      </w:r>
      <w:r>
        <w:rPr>
          <w:b/>
          <w:szCs w:val="23"/>
        </w:rPr>
      </w:r>
      <w:r>
        <w:rPr>
          <w:b/>
          <w:szCs w:val="23"/>
        </w:rPr>
      </w:r>
    </w:p>
    <w:p>
      <w:pPr>
        <w:ind w:firstLine="567"/>
        <w:jc w:val="center"/>
        <w:rPr>
          <w:b/>
          <w:szCs w:val="23"/>
        </w:rPr>
      </w:pPr>
      <w:r>
        <w:rPr>
          <w:b/>
          <w:szCs w:val="23"/>
        </w:rPr>
        <w:t xml:space="preserve">о порядке, условиях и</w:t>
      </w:r>
      <w:r>
        <w:rPr>
          <w:b/>
          <w:szCs w:val="23"/>
        </w:rPr>
        <w:t xml:space="preserve"> сроках реализации имущества</w:t>
      </w:r>
      <w:r>
        <w:rPr>
          <w:b/>
          <w:szCs w:val="23"/>
        </w:rPr>
      </w:r>
      <w:r>
        <w:rPr>
          <w:b/>
          <w:szCs w:val="23"/>
        </w:rPr>
      </w:r>
    </w:p>
    <w:p>
      <w:pPr>
        <w:ind w:firstLine="567"/>
        <w:jc w:val="center"/>
        <w:rPr>
          <w:b/>
          <w:szCs w:val="23"/>
        </w:rPr>
      </w:pPr>
      <w:r>
        <w:rPr>
          <w:b/>
          <w:szCs w:val="23"/>
        </w:rPr>
        <w:t xml:space="preserve">гражданина</w:t>
      </w:r>
      <w:r>
        <w:rPr>
          <w:b/>
          <w:szCs w:val="23"/>
        </w:rPr>
        <w:t xml:space="preserve"> </w:t>
      </w:r>
      <w:r>
        <w:rPr>
          <w:b/>
          <w:szCs w:val="23"/>
        </w:rPr>
        <w:t xml:space="preserve">Бекбаевой Ульмикен Роллановны</w:t>
      </w:r>
      <w:r>
        <w:rPr>
          <w:b/>
          <w:szCs w:val="23"/>
        </w:rPr>
      </w:r>
    </w:p>
    <w:p>
      <w:pPr>
        <w:pStyle w:val="835"/>
        <w:jc w:val="center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</w:p>
    <w:p>
      <w:pPr>
        <w:ind w:left="360"/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1. Сведения о должнике,</w:t>
      </w:r>
      <w:r>
        <w:rPr>
          <w:i/>
          <w:sz w:val="23"/>
          <w:szCs w:val="23"/>
        </w:rPr>
      </w:r>
      <w:r>
        <w:rPr>
          <w:i/>
          <w:sz w:val="23"/>
          <w:szCs w:val="23"/>
        </w:rPr>
      </w:r>
    </w:p>
    <w:p>
      <w:pPr>
        <w:ind w:left="360"/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процедуре банкротства и финансовом управляющем</w:t>
      </w:r>
      <w:r>
        <w:rPr>
          <w:i/>
          <w:sz w:val="23"/>
          <w:szCs w:val="23"/>
        </w:rPr>
      </w:r>
      <w:r>
        <w:rPr>
          <w:i/>
          <w:sz w:val="23"/>
          <w:szCs w:val="23"/>
        </w:rPr>
      </w:r>
    </w:p>
    <w:p>
      <w:pPr>
        <w:ind w:left="360"/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</w:r>
      <w:r>
        <w:rPr>
          <w:i/>
          <w:sz w:val="23"/>
          <w:szCs w:val="23"/>
        </w:rPr>
      </w:r>
      <w:r>
        <w:rPr>
          <w:i/>
          <w:sz w:val="23"/>
          <w:szCs w:val="23"/>
        </w:rPr>
      </w:r>
    </w:p>
    <w:p>
      <w:pPr>
        <w:ind w:left="0" w:right="0"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27.06.2024 г. Решением Арбитражного суда Оренбургской области по делу №А47-5552</w:t>
      </w:r>
      <w:r>
        <w:rPr>
          <w:sz w:val="23"/>
          <w:szCs w:val="23"/>
        </w:rPr>
        <w:t xml:space="preserve">/2024 Бекбаева Ульмикен Роллановна признана несостоятельной (банкротом), введена процедура реализации имущества сроком на 6 месяцев, финансовым управляющим должника утвержден Архипов Константин Олегович, член Ассоциации «ДМСО» (г. Хабаровск).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left="0" w:right="0"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Продажа имущества должника осуществляется в порядке, предусмотренном Федеральным законом РФ от 26.10.2002г. №127-ФЗ «О несостоятельности (банкротстве)» (далее по тексту – Закон о банкротстве).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left="0" w:right="0" w:firstLine="709"/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2.Общие положения.</w:t>
      </w:r>
      <w:r>
        <w:rPr>
          <w:i/>
          <w:sz w:val="23"/>
          <w:szCs w:val="23"/>
        </w:rPr>
      </w:r>
      <w:r>
        <w:rPr>
          <w:i/>
          <w:sz w:val="23"/>
          <w:szCs w:val="23"/>
        </w:rPr>
      </w:r>
    </w:p>
    <w:p>
      <w:pPr>
        <w:ind w:left="0" w:right="0" w:firstLine="709"/>
        <w:jc w:val="both"/>
        <w:rPr>
          <w:rFonts w:eastAsia="MS Mincho"/>
          <w:color w:val="000000"/>
          <w:sz w:val="23"/>
          <w:szCs w:val="23"/>
          <w:lang w:eastAsia="ja-JP"/>
        </w:rPr>
      </w:pPr>
      <w:r>
        <w:rPr>
          <w:rFonts w:eastAsia="MS Mincho"/>
          <w:sz w:val="23"/>
          <w:szCs w:val="23"/>
          <w:lang w:eastAsia="ja-JP"/>
        </w:rPr>
        <w:t xml:space="preserve">Настоящее Положение определяет порядок, сроки и условия продажи имущества должника, </w:t>
      </w:r>
      <w:r>
        <w:rPr>
          <w:rFonts w:eastAsia="MS Mincho"/>
          <w:bCs/>
          <w:color w:val="000000"/>
          <w:sz w:val="23"/>
          <w:szCs w:val="23"/>
          <w:lang w:eastAsia="ja-JP"/>
        </w:rPr>
        <w:t xml:space="preserve">выявленног</w:t>
      </w:r>
      <w:bookmarkStart w:id="0" w:name="_GoBack"/>
      <w:r/>
      <w:bookmarkEnd w:id="0"/>
      <w:r>
        <w:rPr>
          <w:rFonts w:eastAsia="MS Mincho"/>
          <w:bCs/>
          <w:color w:val="000000"/>
          <w:sz w:val="23"/>
          <w:szCs w:val="23"/>
          <w:lang w:eastAsia="ja-JP"/>
        </w:rPr>
        <w:t xml:space="preserve">о у должника в ходе проведения инвентаризации</w:t>
      </w:r>
      <w:r>
        <w:rPr>
          <w:rFonts w:eastAsia="MS Mincho"/>
          <w:color w:val="000000"/>
          <w:sz w:val="23"/>
          <w:szCs w:val="23"/>
          <w:lang w:eastAsia="ja-JP"/>
        </w:rPr>
        <w:t xml:space="preserve">.                           </w:t>
      </w:r>
      <w:r>
        <w:rPr>
          <w:rFonts w:eastAsia="MS Mincho"/>
          <w:color w:val="000000"/>
          <w:sz w:val="23"/>
          <w:szCs w:val="23"/>
          <w:lang w:eastAsia="ja-JP"/>
        </w:rPr>
      </w:r>
      <w:r>
        <w:rPr>
          <w:rFonts w:eastAsia="MS Mincho"/>
          <w:color w:val="000000"/>
          <w:sz w:val="23"/>
          <w:szCs w:val="23"/>
          <w:lang w:eastAsia="ja-JP"/>
        </w:rPr>
      </w:r>
    </w:p>
    <w:p>
      <w:pPr>
        <w:ind w:left="0" w:right="0" w:firstLine="709"/>
        <w:jc w:val="both"/>
        <w:rPr>
          <w:rFonts w:eastAsia="MS Mincho"/>
          <w:sz w:val="23"/>
          <w:szCs w:val="23"/>
          <w:highlight w:val="none"/>
          <w:lang w:eastAsia="ja-JP"/>
        </w:rPr>
      </w:pPr>
      <w:r>
        <w:rPr>
          <w:rFonts w:eastAsia="MS Mincho"/>
          <w:sz w:val="23"/>
          <w:szCs w:val="23"/>
          <w:lang w:eastAsia="ja-JP"/>
        </w:rPr>
        <w:t xml:space="preserve">2.1. </w:t>
      </w:r>
      <w:r>
        <w:rPr>
          <w:rFonts w:eastAsia="MS Mincho"/>
          <w:sz w:val="23"/>
          <w:szCs w:val="23"/>
          <w:lang w:eastAsia="ja-JP"/>
        </w:rPr>
        <w:t xml:space="preserve">Продажа объектов недвижимости осуществляется путем проведения </w:t>
      </w:r>
      <w:r>
        <w:rPr>
          <w:rFonts w:ascii="Times New Roman" w:hAnsi="Times New Roman"/>
          <w:sz w:val="24"/>
          <w:szCs w:val="24"/>
        </w:rPr>
        <w:t xml:space="preserve">аукциона, закрытого по составу участников, с открытой формой представления предложений о цене лота, по принципу повышения начальной цены на «шаг аукциона»</w:t>
      </w:r>
      <w:r/>
      <w:r>
        <w:rPr>
          <w:rFonts w:eastAsia="MS Mincho"/>
          <w:sz w:val="23"/>
          <w:szCs w:val="23"/>
          <w:lang w:eastAsia="ja-JP"/>
        </w:rPr>
        <w:t xml:space="preserve">.</w:t>
      </w:r>
      <w:r>
        <w:rPr>
          <w:rFonts w:eastAsia="MS Mincho"/>
          <w:sz w:val="23"/>
          <w:szCs w:val="23"/>
          <w:highlight w:val="none"/>
          <w:lang w:eastAsia="ja-JP"/>
        </w:rPr>
      </w:r>
    </w:p>
    <w:p>
      <w:pPr>
        <w:ind w:left="0" w:right="0" w:firstLine="709"/>
        <w:jc w:val="both"/>
        <w:rPr>
          <w:rFonts w:eastAsia="MS Mincho"/>
          <w:sz w:val="23"/>
          <w:szCs w:val="23"/>
          <w:lang w:eastAsia="ja-JP"/>
        </w:rPr>
      </w:pPr>
      <w:r>
        <w:rPr>
          <w:rFonts w:eastAsia="MS Mincho"/>
          <w:sz w:val="23"/>
          <w:szCs w:val="23"/>
          <w:highlight w:val="none"/>
          <w:lang w:eastAsia="ja-JP"/>
        </w:rPr>
      </w:r>
      <w:r>
        <w:rPr>
          <w:rFonts w:eastAsia="MS Mincho"/>
          <w:sz w:val="23"/>
          <w:szCs w:val="23"/>
          <w:highlight w:val="none"/>
          <w:lang w:eastAsia="ja-JP"/>
        </w:rPr>
      </w:r>
    </w:p>
    <w:tbl>
      <w:tblPr>
        <w:tblW w:w="9780" w:type="dxa"/>
        <w:tblInd w:w="8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795"/>
        <w:gridCol w:w="1984"/>
      </w:tblGrid>
      <w:tr>
        <w:tblPrEx/>
        <w:trPr>
          <w:trHeight w:val="690"/>
        </w:trPr>
        <w:tc>
          <w:tcPr>
            <w:shd w:val="clear" w:color="000000" w:fill="ccffcc"/>
            <w:tcW w:w="779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Наименование объекта оценки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shd w:val="clear" w:color="000000" w:fill="ccffcc"/>
            <w:tcW w:w="1984" w:type="dxa"/>
            <w:vAlign w:val="center"/>
            <w:textDirection w:val="lrTb"/>
            <w:noWrap w:val="false"/>
          </w:tcPr>
          <w:p>
            <w:pPr>
              <w:ind w:firstLine="17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Рыночная стоимость с учетом износа, руб.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blPrEx/>
        <w:trPr>
          <w:trHeight w:val="675"/>
        </w:trPr>
        <w:tc>
          <w:tcPr>
            <w:shd w:val="clear" w:color="000000" w:fill="ffffff"/>
            <w:tcW w:w="7795" w:type="dxa"/>
            <w:vAlign w:val="center"/>
            <w:textDirection w:val="lrTb"/>
            <w:noWrap w:val="false"/>
          </w:tcPr>
          <w:p>
            <w:pPr>
              <w:jc w:val="center"/>
            </w:pPr>
            <w:r/>
            <w:r>
              <w:rPr>
                <w:shd w:val="clear" w:color="auto" w:fill="ffffff"/>
              </w:rPr>
              <w:t xml:space="preserve">Земельный участок, категория земель: зем</w:t>
            </w:r>
            <w:r>
              <w:rPr>
                <w:shd w:val="clear" w:color="auto" w:fill="ffffff"/>
              </w:rPr>
              <w:t xml:space="preserve">ли сельскохозяйственного назначения, разрешенное использование: для сельскохозяйственных целей, общей площадью 952000  кв. м, кадастровый номер 56:29:00000000:2082, адрес (местонахождение) объекта: Оренбургская область, р-н Соль-Илецкий, с/с Красномаякский</w:t>
            </w:r>
            <w:r>
              <w:rPr>
                <w:shd w:val="clear" w:color="auto" w:fill="ffffff"/>
              </w:rPr>
              <w:t xml:space="preserve"> (общая долевая собственность 192/952)</w:t>
            </w:r>
            <w:r/>
            <w:r/>
            <w:r/>
          </w:p>
        </w:tc>
        <w:tc>
          <w:tcPr>
            <w:shd w:val="clear" w:color="auto" w:fill="auto"/>
            <w:tcW w:w="1984" w:type="dxa"/>
            <w:vAlign w:val="center"/>
            <w:textDirection w:val="lrTb"/>
            <w:noWrap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260 000 рублей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</w:tbl>
    <w:p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Основные условия проведения торгов: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1). В соответствии с п.8 ст.110</w:t>
      </w:r>
      <w:r>
        <w:rPr>
          <w:sz w:val="23"/>
          <w:szCs w:val="23"/>
        </w:rPr>
        <w:t xml:space="preserve">, ст. </w:t>
      </w:r>
      <w:r>
        <w:rPr>
          <w:sz w:val="23"/>
          <w:szCs w:val="23"/>
        </w:rPr>
        <w:t xml:space="preserve">213.26 Закона</w:t>
      </w:r>
      <w:r>
        <w:rPr>
          <w:sz w:val="23"/>
          <w:szCs w:val="23"/>
        </w:rPr>
        <w:t xml:space="preserve"> о банкротстве в качестве организа</w:t>
      </w:r>
      <w:r>
        <w:rPr>
          <w:sz w:val="23"/>
          <w:szCs w:val="23"/>
        </w:rPr>
        <w:t xml:space="preserve">тора торгов выступает финансовый</w:t>
      </w:r>
      <w:r>
        <w:rPr>
          <w:sz w:val="23"/>
          <w:szCs w:val="23"/>
        </w:rPr>
        <w:t xml:space="preserve"> управляющий. 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2). </w:t>
      </w:r>
      <w:r>
        <w:rPr>
          <w:sz w:val="23"/>
          <w:szCs w:val="23"/>
        </w:rPr>
        <w:t xml:space="preserve">На основании п.6</w:t>
      </w:r>
      <w:r>
        <w:rPr>
          <w:sz w:val="23"/>
          <w:szCs w:val="23"/>
        </w:rPr>
        <w:t xml:space="preserve"> ст.110 Федерального закона «О несостоятельности (банкротстве)» для организации торгов организатор торгов привлекает на договорной основе оператора электронной площадки. Оплата услуг оператора электронной площадки осуществляется за счет имущества должника.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3). </w:t>
      </w:r>
      <w:r>
        <w:rPr>
          <w:sz w:val="23"/>
          <w:szCs w:val="23"/>
        </w:rPr>
        <w:t xml:space="preserve">Формирование и группировка по</w:t>
      </w:r>
      <w:r>
        <w:rPr>
          <w:sz w:val="23"/>
          <w:szCs w:val="23"/>
        </w:rPr>
        <w:t xml:space="preserve"> лотам </w:t>
      </w:r>
      <w:r>
        <w:rPr>
          <w:sz w:val="23"/>
          <w:szCs w:val="23"/>
        </w:rPr>
        <w:t xml:space="preserve">осуществляются</w:t>
      </w:r>
      <w:r>
        <w:rPr>
          <w:sz w:val="23"/>
          <w:szCs w:val="23"/>
        </w:rPr>
        <w:t xml:space="preserve"> финансовым</w:t>
      </w:r>
      <w:r>
        <w:rPr>
          <w:sz w:val="23"/>
          <w:szCs w:val="23"/>
        </w:rPr>
        <w:t xml:space="preserve"> управляющим.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4). Начальная цена стоимости лота устанавливается равной рыночной стоимости данного имущ</w:t>
      </w:r>
      <w:r>
        <w:rPr>
          <w:sz w:val="23"/>
          <w:szCs w:val="23"/>
        </w:rPr>
        <w:t xml:space="preserve">ества, определенной финансовым управляющим в решениях об оценке</w:t>
      </w:r>
      <w:r>
        <w:rPr>
          <w:sz w:val="23"/>
          <w:szCs w:val="23"/>
        </w:rPr>
        <w:t xml:space="preserve">. 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right="-98"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5). Размер задатка для участия в то</w:t>
      </w:r>
      <w:r>
        <w:rPr>
          <w:sz w:val="23"/>
          <w:szCs w:val="23"/>
        </w:rPr>
        <w:t xml:space="preserve">ргах устанавливает</w:t>
      </w:r>
      <w:r>
        <w:rPr>
          <w:sz w:val="23"/>
          <w:szCs w:val="23"/>
        </w:rPr>
        <w:t xml:space="preserve">ся в размере 1</w:t>
      </w:r>
      <w:r>
        <w:rPr>
          <w:sz w:val="23"/>
          <w:szCs w:val="23"/>
        </w:rPr>
        <w:t xml:space="preserve">0% начальной цены стоимости лота и вносится по следующим реквизитам, указанным в публикации.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6). Величина повышения начальной цены продажи лота (шаг аукцио</w:t>
      </w:r>
      <w:r>
        <w:rPr>
          <w:sz w:val="23"/>
          <w:szCs w:val="23"/>
        </w:rPr>
        <w:t xml:space="preserve">н</w:t>
      </w:r>
      <w:r>
        <w:rPr>
          <w:sz w:val="23"/>
          <w:szCs w:val="23"/>
        </w:rPr>
        <w:t xml:space="preserve">а) устанавливается в размере 5 </w:t>
      </w:r>
      <w:r>
        <w:rPr>
          <w:sz w:val="23"/>
          <w:szCs w:val="23"/>
        </w:rPr>
        <w:t xml:space="preserve">% </w:t>
      </w:r>
      <w:r>
        <w:rPr>
          <w:sz w:val="23"/>
          <w:szCs w:val="23"/>
        </w:rPr>
        <w:t xml:space="preserve">от </w:t>
      </w:r>
      <w:r>
        <w:rPr>
          <w:sz w:val="23"/>
          <w:szCs w:val="23"/>
        </w:rPr>
        <w:t xml:space="preserve">начальной цены лота.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720"/>
        <w:jc w:val="center"/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3. Подготовка к проведению торгов.</w:t>
      </w:r>
      <w:r>
        <w:rPr>
          <w:i/>
          <w:sz w:val="23"/>
          <w:szCs w:val="23"/>
        </w:rPr>
      </w:r>
      <w:r>
        <w:rPr>
          <w:i/>
          <w:sz w:val="23"/>
          <w:szCs w:val="23"/>
        </w:rPr>
      </w:r>
    </w:p>
    <w:p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3.2. В рамках подготовки к проведению торгов организатор торгов выполняет следующие обязанности: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самостоятельно проводит подготовку к торгам;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заключает договор с оператором электронной площадки;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подает заявку на размещение торгов на электронной площадке;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опубликовывает и размещает информационное сообщение о проведении торгов и сообщение о результатах проведения торгов;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определяет по своему усмотрению иные условия проведения торгов, не указанные в настоящем положении;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принимает заявки на участие в торгах и ведет их учет по мере поступления;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проверяет правильность оформления документов, указанных в п. 5.3 Положения и представленных заявителем для участия в торгах; 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определяет срок и условия внесения задатка лицами, заявившими о своем участии в торгах (далее – заявители);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заключает с заявителями договоры о задатке;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подписывает протокол о результатах проведения торгов;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осуществляет иные действия по проведению аукциона.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заключает с победителем торгов договор купли-продажи имущества;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проводит расчеты с победителем торгов, организатором торгов, оператором электронной площадки, с заявителями, не допущенными к торгам, и участниками, не признанными победителем торгов;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обеспечивает передачу имущества победителю торгов и совершает необходимые действия, связанные с переходом права собственности.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3.3. Информационное сообщение о проведении </w:t>
      </w:r>
      <w:r>
        <w:rPr>
          <w:sz w:val="23"/>
          <w:szCs w:val="23"/>
        </w:rPr>
        <w:t xml:space="preserve">торгов подлежит опубликованию в ЕФРСБ и </w:t>
      </w:r>
      <w:r>
        <w:rPr>
          <w:sz w:val="23"/>
          <w:szCs w:val="23"/>
        </w:rPr>
        <w:t xml:space="preserve">на сайте электронной площадки, не позднее чем за тридцать дней до даты проведения торгов.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информационном сообщении о проведении торгов должны содержаться: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сведения о лотах, составе лотов, основные характеристики, порядок ознакомления с подробными характеристиками лотов;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сведения о форме проведения торгов и форме предложений о цене имущества;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порядок оформления участия в торгах, перечень представляемых участниками торгов документов и требования к их оформлению;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размер задатка, сроки и порядок внесения задатка, реквизиты счета, на который вносится задаток, проект договора о задатке;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начальная продажная цена имущества;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величина повышения начальной цены продажи лота ("шаг аукциона");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порядок и критерии выявления победителя торгов;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дата, время и место подведения результатов торгов;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порядок и срок заключения договора купли-продажи;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сроки платежей, реквизиты счета, на который вносятся платежи;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сведения об организаторе торгов, его почтовый адрес, адрес электронной почты, номер контактного телефона;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- адрес сайта электронной площадки, на которой проводятся торги.</w:t>
      </w:r>
      <w:bookmarkStart w:id="1" w:name="sub_1400"/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center"/>
        <w:spacing w:before="108" w:after="108"/>
        <w:rPr>
          <w:rFonts w:eastAsia="Calibri"/>
          <w:bCs/>
          <w:i/>
          <w:sz w:val="23"/>
          <w:szCs w:val="23"/>
        </w:rPr>
        <w:outlineLvl w:val="0"/>
      </w:pPr>
      <w:r>
        <w:rPr>
          <w:rFonts w:eastAsia="Calibri"/>
          <w:bCs/>
          <w:i/>
          <w:sz w:val="23"/>
          <w:szCs w:val="23"/>
        </w:rPr>
        <w:t xml:space="preserve">4. Представление заявок на участие в открытых торгах.</w:t>
      </w:r>
      <w:r>
        <w:rPr>
          <w:rFonts w:eastAsia="Calibri"/>
          <w:bCs/>
          <w:i/>
          <w:sz w:val="23"/>
          <w:szCs w:val="23"/>
        </w:rPr>
      </w:r>
      <w:r>
        <w:rPr>
          <w:rFonts w:eastAsia="Calibri"/>
          <w:bCs/>
          <w:i/>
          <w:sz w:val="23"/>
          <w:szCs w:val="23"/>
        </w:rPr>
      </w:r>
    </w:p>
    <w:p>
      <w:pPr>
        <w:ind w:firstLine="708"/>
        <w:jc w:val="both"/>
        <w:rPr>
          <w:rFonts w:eastAsia="Calibri"/>
          <w:sz w:val="23"/>
          <w:szCs w:val="23"/>
        </w:rPr>
      </w:pPr>
      <w:r/>
      <w:bookmarkStart w:id="2" w:name="sub_1441"/>
      <w:r/>
      <w:bookmarkEnd w:id="1"/>
      <w:r>
        <w:rPr>
          <w:rFonts w:eastAsia="Calibri"/>
          <w:sz w:val="23"/>
          <w:szCs w:val="23"/>
        </w:rPr>
        <w:t xml:space="preserve">4.1. 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708"/>
        <w:jc w:val="both"/>
        <w:rPr>
          <w:rFonts w:eastAsia="Calibri"/>
          <w:sz w:val="23"/>
          <w:szCs w:val="23"/>
        </w:rPr>
      </w:pPr>
      <w:r/>
      <w:bookmarkStart w:id="3" w:name="sub_1442"/>
      <w:r/>
      <w:bookmarkEnd w:id="2"/>
      <w:r>
        <w:rPr>
          <w:rFonts w:eastAsia="Calibri"/>
          <w:sz w:val="23"/>
          <w:szCs w:val="23"/>
        </w:rPr>
        <w:t xml:space="preserve">4.2. Для участия в открытых торгах заявитель представляет оператору электронной площадки заявку на участие в открытых торгах.</w:t>
      </w:r>
      <w:bookmarkEnd w:id="3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708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708"/>
        <w:jc w:val="both"/>
        <w:rPr>
          <w:rFonts w:eastAsia="Calibri"/>
          <w:sz w:val="23"/>
          <w:szCs w:val="23"/>
        </w:rPr>
      </w:pPr>
      <w:r/>
      <w:bookmarkStart w:id="4" w:name="sub_1443"/>
      <w:r>
        <w:rPr>
          <w:rFonts w:eastAsia="Calibri"/>
          <w:sz w:val="23"/>
          <w:szCs w:val="23"/>
        </w:rPr>
        <w:t xml:space="preserve">4.3. Заявка на участие в открытых торгах должна содержать: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5" w:name="sub_14431"/>
      <w:r/>
      <w:bookmarkEnd w:id="4"/>
      <w:r>
        <w:rPr>
          <w:rFonts w:eastAsia="Calibri"/>
          <w:sz w:val="23"/>
          <w:szCs w:val="23"/>
        </w:rPr>
        <w:t xml:space="preserve">а). обязательство участника открытых торгов соблюдать требования, указанные в сообщении о проведении открытых торгов;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6" w:name="sub_14432"/>
      <w:r/>
      <w:bookmarkEnd w:id="5"/>
      <w:r>
        <w:rPr>
          <w:rFonts w:eastAsia="Calibri"/>
          <w:sz w:val="23"/>
          <w:szCs w:val="23"/>
        </w:rPr>
        <w:t xml:space="preserve">б).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</w:t>
      </w:r>
      <w:r>
        <w:rPr>
          <w:rFonts w:eastAsia="Calibri"/>
          <w:sz w:val="23"/>
          <w:szCs w:val="23"/>
        </w:rPr>
        <w:t xml:space="preserve">порядке копию такой выписки (для ю</w:t>
      </w:r>
      <w:r>
        <w:rPr>
          <w:rFonts w:eastAsia="Calibri"/>
          <w:sz w:val="23"/>
          <w:szCs w:val="23"/>
        </w:rPr>
        <w:t xml:space="preserve">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</w:t>
      </w:r>
      <w:r>
        <w:rPr>
          <w:rFonts w:eastAsia="Calibri"/>
          <w:sz w:val="23"/>
          <w:szCs w:val="23"/>
        </w:rPr>
        <w:t xml:space="preserve">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</w:t>
      </w:r>
      <w:r>
        <w:rPr>
          <w:rFonts w:eastAsia="Calibri"/>
          <w:sz w:val="23"/>
          <w:szCs w:val="23"/>
        </w:rPr>
        <w:t xml:space="preserve">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</w:t>
      </w:r>
      <w:r>
        <w:rPr>
          <w:rFonts w:eastAsia="Calibri"/>
          <w:sz w:val="23"/>
          <w:szCs w:val="23"/>
        </w:rPr>
        <w:t xml:space="preserve">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7" w:name="sub_14433"/>
      <w:r/>
      <w:bookmarkEnd w:id="6"/>
      <w:r>
        <w:rPr>
          <w:rFonts w:eastAsia="Calibri"/>
          <w:sz w:val="23"/>
          <w:szCs w:val="23"/>
        </w:rPr>
        <w:t xml:space="preserve">в). фирменное наименование (наименование), сведения об организационно-правовой ф</w:t>
      </w:r>
      <w:r>
        <w:rPr>
          <w:rFonts w:eastAsia="Calibri"/>
          <w:sz w:val="23"/>
          <w:szCs w:val="23"/>
        </w:rPr>
        <w:t xml:space="preserve">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8" w:name="sub_14434"/>
      <w:r/>
      <w:bookmarkEnd w:id="7"/>
      <w:r>
        <w:rPr>
          <w:rFonts w:eastAsia="Calibri"/>
          <w:sz w:val="23"/>
          <w:szCs w:val="23"/>
        </w:rPr>
        <w:t xml:space="preserve">г). копии документов, подтверждающих полномочия руководителя (для юридических лиц);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9" w:name="sub_14435"/>
      <w:r/>
      <w:bookmarkEnd w:id="8"/>
      <w:r>
        <w:rPr>
          <w:rFonts w:eastAsia="Calibri"/>
          <w:sz w:val="23"/>
          <w:szCs w:val="23"/>
        </w:rPr>
        <w:t xml:space="preserve">д). сведения о наличии или об отсутствии заинтересованности заявителя по отношению к должнику, кредиторам, арбитражному управляющему и</w:t>
      </w:r>
      <w:r>
        <w:rPr>
          <w:rFonts w:eastAsia="Calibri"/>
          <w:sz w:val="23"/>
          <w:szCs w:val="23"/>
        </w:rPr>
        <w:t xml:space="preserve">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10" w:name="sub_1444"/>
      <w:r/>
      <w:bookmarkEnd w:id="9"/>
      <w:r>
        <w:rPr>
          <w:rFonts w:eastAsia="Calibri"/>
          <w:sz w:val="23"/>
          <w:szCs w:val="23"/>
        </w:rPr>
        <w:t xml:space="preserve">4.4.</w:t>
      </w:r>
      <w:r>
        <w:rPr>
          <w:rFonts w:eastAsia="Calibri"/>
          <w:sz w:val="23"/>
          <w:szCs w:val="23"/>
        </w:rPr>
        <w:t xml:space="preserve"> В течение двух часов с момента представления заявки на участие в открытых торгах оператор электронной площадки обязан осуществить регистрацию представленной заявки в журнале заявок на участие в торгах, присвоив заявке порядковый номер в указанном журнале.</w:t>
      </w:r>
      <w:bookmarkEnd w:id="10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Организатор торгов в течен</w:t>
      </w:r>
      <w:r>
        <w:rPr>
          <w:rFonts w:eastAsia="Calibri"/>
          <w:sz w:val="23"/>
          <w:szCs w:val="23"/>
        </w:rPr>
        <w:t xml:space="preserve">ие одного часа с момента получения такой заявки проверяет наличие полного перечня документов и сведений, содержащихся в представленной заявке, и их соответствие требованиям настоящего раздела и направляет уведомление об этом оператору электронной площадки.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В случае установления наличия полного перечня документов и сведений, содержащихся в представленной заявке, требованиям настоящего раздела оператор эле</w:t>
      </w:r>
      <w:r>
        <w:rPr>
          <w:rFonts w:eastAsia="Calibri"/>
          <w:sz w:val="23"/>
          <w:szCs w:val="23"/>
        </w:rPr>
        <w:t xml:space="preserve">ктронной площадки незамедлительно после получения указанного уведомления направляет заявителю уведомление о регистрации заявки с указанием присвоенного заявке порядкового номера в журнале заявок на участие в торгах, даты и точного времени ее представления.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В случае установления непредставления заявителем полного перечня документов и сведений в соответствии с требованиями настоящег</w:t>
      </w:r>
      <w:r>
        <w:rPr>
          <w:rFonts w:eastAsia="Calibri"/>
          <w:sz w:val="23"/>
          <w:szCs w:val="23"/>
        </w:rPr>
        <w:t xml:space="preserve">о раздела организатор торгов в течение одного часа с момента получения уведомления оператора электронной площадки о поступлении заявки направляет оператору электронной площадки уведомление о неполноте заявки или ее несоответствии установленным требованиям.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Оператор электронной площадки в течение тридцати минут с</w:t>
      </w:r>
      <w:r>
        <w:rPr>
          <w:rFonts w:eastAsia="Calibri"/>
          <w:sz w:val="23"/>
          <w:szCs w:val="23"/>
        </w:rPr>
        <w:t xml:space="preserve"> момента получения такого уведомления от организатора направляет заявителю уведомление в форме электронного документа о неполноте заявки или ее несоответствии установленным требованиям с указанием недостатков заявки, которые заявителю необходимо устранить.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11" w:name="sub_1445"/>
      <w:r>
        <w:rPr>
          <w:rFonts w:eastAsia="Calibri"/>
          <w:sz w:val="23"/>
          <w:szCs w:val="23"/>
        </w:rPr>
        <w:t xml:space="preserve">4.5. Заявитель вправе изменить или отозвать заявку на участие в открытых торгах не позднее окончания срока подачи заявок на участие в открытых торгах, направив об этом уведомление оператору электронной площадки.</w:t>
      </w:r>
      <w:bookmarkEnd w:id="11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В случае предст</w:t>
      </w:r>
      <w:r>
        <w:rPr>
          <w:rFonts w:eastAsia="Calibri"/>
          <w:sz w:val="23"/>
          <w:szCs w:val="23"/>
        </w:rPr>
        <w:t xml:space="preserve">авления одним заявителем двух и более заявок на участие в торгах, при условии, что представленные заявки не были им отозваны, при проведении торгов рассматривается только заявка, представленная первой, все иные представленные заявки возвращаются заявителю.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4.6. С момента начала приема заявок организатор предоставляет каждому заявителю возможность предварительного ознакомления с имуществом должника, с условиями проведения торгов, а также с иной имеющейся у него информацией о продаваемом имуществе должника.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4.7. Для участия в торгах на основании заключенного договора о задатке заявитель вносит задаток в счет обеспечения оплаты приобретаемого на торгах имущества.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Поступивший от заявителя, отказавшегося от участия в торгах в установленный для приема заявок срок, задаток подлежит возврату в течение 5 (пяти) банковских дней с момента поступления организатору торгов уведомления об отзыве заявки.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Заявителям, не допущенным к участию в торгах, внесенные задатки возвращаются в течение 5 (пяти) банковских дней с момента направления соответствующего уведомления об отказе. 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Задаток, внесенный победителем аукциона, засчитывается в счет оплаты приобретаемого имущества.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Суммы внесенных заявителями задатков возвращаются всем заявителям, за исключения победителя торгов, в течение 5 (пяти) банковских дней со дня подписания протокола о результатах проведения торгов.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Задаток не возвращается в случае отказа или уклонения победителя аукциона от подписания договора купли-продажи имущества, а также в случае нарушения победителем торгов установленных сроков полной оплаты проданного имущества или сроков приема имущества.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center"/>
        <w:spacing w:before="108" w:after="108"/>
        <w:rPr>
          <w:rFonts w:eastAsia="Calibri"/>
          <w:bCs/>
          <w:i/>
          <w:sz w:val="23"/>
          <w:szCs w:val="23"/>
        </w:rPr>
        <w:outlineLvl w:val="0"/>
      </w:pPr>
      <w:r/>
      <w:bookmarkStart w:id="12" w:name="sub_1500"/>
      <w:r>
        <w:rPr>
          <w:rFonts w:eastAsia="Calibri"/>
          <w:bCs/>
          <w:i/>
          <w:sz w:val="23"/>
          <w:szCs w:val="23"/>
        </w:rPr>
        <w:t xml:space="preserve">5. Определение участников открытых торгов.</w:t>
      </w:r>
      <w:r>
        <w:rPr>
          <w:rFonts w:eastAsia="Calibri"/>
          <w:bCs/>
          <w:i/>
          <w:sz w:val="23"/>
          <w:szCs w:val="23"/>
        </w:rPr>
      </w:r>
      <w:r>
        <w:rPr>
          <w:rFonts w:eastAsia="Calibri"/>
          <w:bCs/>
          <w:i/>
          <w:sz w:val="23"/>
          <w:szCs w:val="23"/>
        </w:rPr>
      </w:r>
    </w:p>
    <w:p>
      <w:pPr>
        <w:ind w:firstLine="709"/>
        <w:jc w:val="both"/>
        <w:rPr>
          <w:rFonts w:eastAsia="Calibri"/>
          <w:bCs/>
          <w:i/>
          <w:sz w:val="23"/>
          <w:szCs w:val="23"/>
        </w:rPr>
        <w:outlineLvl w:val="0"/>
      </w:pPr>
      <w:r>
        <w:rPr>
          <w:rFonts w:eastAsia="Calibri"/>
          <w:sz w:val="23"/>
          <w:szCs w:val="23"/>
        </w:rPr>
        <w:t xml:space="preserve">5.1. </w:t>
      </w:r>
      <w:r>
        <w:rPr>
          <w:rFonts w:eastAsia="Calibri"/>
          <w:sz w:val="23"/>
          <w:szCs w:val="23"/>
        </w:rPr>
        <w:t xml:space="preserve">Не позднее одного часа с момента окончания представления заявок на </w:t>
      </w:r>
      <w:bookmarkStart w:id="13" w:name="sub_1551"/>
      <w:r/>
      <w:bookmarkEnd w:id="12"/>
      <w:r>
        <w:rPr>
          <w:rFonts w:eastAsia="Calibri"/>
          <w:sz w:val="23"/>
          <w:szCs w:val="23"/>
        </w:rPr>
        <w:t xml:space="preserve">участие в</w:t>
      </w:r>
      <w:r>
        <w:rPr>
          <w:rFonts w:eastAsia="Calibri"/>
          <w:bCs/>
          <w:i/>
          <w:sz w:val="23"/>
          <w:szCs w:val="23"/>
        </w:rPr>
        <w:t xml:space="preserve"> </w:t>
      </w:r>
      <w:r>
        <w:rPr>
          <w:rFonts w:eastAsia="Calibri"/>
          <w:sz w:val="23"/>
          <w:szCs w:val="23"/>
        </w:rPr>
        <w:t xml:space="preserve">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  <w:r>
        <w:rPr>
          <w:rFonts w:eastAsia="Calibri"/>
          <w:bCs/>
          <w:i/>
          <w:sz w:val="23"/>
          <w:szCs w:val="23"/>
        </w:rPr>
      </w:r>
      <w:r>
        <w:rPr>
          <w:rFonts w:eastAsia="Calibri"/>
          <w:bCs/>
          <w:i/>
          <w:sz w:val="23"/>
          <w:szCs w:val="23"/>
        </w:rPr>
      </w:r>
    </w:p>
    <w:p>
      <w:pPr>
        <w:ind w:firstLine="709"/>
        <w:jc w:val="both"/>
        <w:rPr>
          <w:rFonts w:eastAsia="Calibri"/>
          <w:sz w:val="23"/>
          <w:szCs w:val="23"/>
        </w:rPr>
      </w:pPr>
      <w:r/>
      <w:bookmarkStart w:id="14" w:name="sub_1552"/>
      <w:r/>
      <w:bookmarkEnd w:id="13"/>
      <w:r>
        <w:rPr>
          <w:rFonts w:eastAsia="Calibri"/>
          <w:sz w:val="23"/>
          <w:szCs w:val="23"/>
        </w:rPr>
        <w:t xml:space="preserve">5.2. Решение организатора торгов о допуске заявителей к участию в открытых торгах</w:t>
      </w:r>
      <w:r>
        <w:rPr>
          <w:rFonts w:eastAsia="Calibri"/>
          <w:sz w:val="23"/>
          <w:szCs w:val="23"/>
        </w:rPr>
        <w:t xml:space="preserve">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</w:t>
      </w:r>
      <w:r>
        <w:rPr>
          <w:rFonts w:eastAsia="Calibri"/>
          <w:sz w:val="23"/>
          <w:szCs w:val="23"/>
        </w:rPr>
        <w:t xml:space="preserve">ах и прилагаемые к ним документы, которые соответствуют требованиям, установленным Федеральным законом «О несостоятельности (банкротстве)» и указанным в сообщении о проведении торгов. Заявители, допущенные к участию в торгах, признаются участниками торгов.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708"/>
        <w:jc w:val="both"/>
        <w:rPr>
          <w:rFonts w:eastAsia="Calibri"/>
          <w:sz w:val="23"/>
          <w:szCs w:val="23"/>
        </w:rPr>
      </w:pPr>
      <w:r/>
      <w:bookmarkStart w:id="15" w:name="sub_1553"/>
      <w:r/>
      <w:bookmarkEnd w:id="14"/>
      <w:r>
        <w:rPr>
          <w:rFonts w:eastAsia="Calibri"/>
          <w:sz w:val="23"/>
          <w:szCs w:val="23"/>
        </w:rPr>
        <w:t xml:space="preserve">5.3. Решение об отказе в допуске заявителя к участию в торгах принимается в случае, если: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16" w:name="sub_15531"/>
      <w:r/>
      <w:bookmarkEnd w:id="15"/>
      <w:r>
        <w:rPr>
          <w:rFonts w:eastAsia="Calibri"/>
          <w:sz w:val="23"/>
          <w:szCs w:val="23"/>
        </w:rPr>
        <w:t xml:space="preserve">1) заявка на участие в торгах не соответствует требованиям, установленным настоящим Положением;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17" w:name="sub_15532"/>
      <w:r/>
      <w:bookmarkEnd w:id="16"/>
      <w:r>
        <w:rPr>
          <w:rFonts w:eastAsia="Calibri"/>
          <w:sz w:val="23"/>
          <w:szCs w:val="23"/>
        </w:rPr>
        <w:t xml:space="preserve">2) представленные заявителем документы не соответствуют установленным к ним требованиям или сведения, содержащиеся в них, недостоверны.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18" w:name="sub_1554"/>
      <w:r/>
      <w:bookmarkEnd w:id="17"/>
      <w:r>
        <w:rPr>
          <w:rFonts w:eastAsia="Calibri"/>
          <w:sz w:val="23"/>
          <w:szCs w:val="23"/>
        </w:rPr>
        <w:t xml:space="preserve">5.4.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  <w:bookmarkEnd w:id="18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center"/>
        <w:spacing w:before="108" w:after="108"/>
        <w:rPr>
          <w:rFonts w:eastAsia="Calibri"/>
          <w:bCs/>
          <w:i/>
          <w:sz w:val="23"/>
          <w:szCs w:val="23"/>
        </w:rPr>
        <w:outlineLvl w:val="0"/>
      </w:pPr>
      <w:r/>
      <w:bookmarkStart w:id="19" w:name="sub_1600"/>
      <w:r>
        <w:rPr>
          <w:rFonts w:eastAsia="Calibri"/>
          <w:bCs/>
          <w:i/>
          <w:sz w:val="23"/>
          <w:szCs w:val="23"/>
        </w:rPr>
        <w:t xml:space="preserve">6. Проведение открытых торгов.</w:t>
      </w:r>
      <w:r>
        <w:rPr>
          <w:rFonts w:eastAsia="Calibri"/>
          <w:bCs/>
          <w:i/>
          <w:sz w:val="23"/>
          <w:szCs w:val="23"/>
        </w:rPr>
      </w:r>
      <w:r>
        <w:rPr>
          <w:rFonts w:eastAsia="Calibri"/>
          <w:bCs/>
          <w:i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20" w:name="sub_1661"/>
      <w:r/>
      <w:bookmarkEnd w:id="19"/>
      <w:r>
        <w:rPr>
          <w:rFonts w:eastAsia="Calibri"/>
          <w:sz w:val="23"/>
          <w:szCs w:val="23"/>
        </w:rPr>
        <w:t xml:space="preserve">6.1.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</w:r>
      <w:bookmarkEnd w:id="20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Открытые торги проводятся путем повышения начальной цены продажи на величину, кратную величине "шага аукциона".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21" w:name="sub_1662"/>
      <w:r>
        <w:rPr>
          <w:rFonts w:eastAsia="Calibri"/>
          <w:sz w:val="23"/>
          <w:szCs w:val="23"/>
        </w:rPr>
        <w:t xml:space="preserve">6.2. 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22" w:name="sub_1663"/>
      <w:r/>
      <w:bookmarkEnd w:id="21"/>
      <w:r>
        <w:rPr>
          <w:rFonts w:eastAsia="Calibri"/>
          <w:sz w:val="23"/>
          <w:szCs w:val="23"/>
        </w:rPr>
        <w:t xml:space="preserve">6.3.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</w:r>
      <w:bookmarkEnd w:id="22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Доступ к данной информации предоставляется только лицам, зарегистрированным на электронной площадке.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23" w:name="sub_1664"/>
      <w:r>
        <w:rPr>
          <w:rFonts w:eastAsia="Calibri"/>
          <w:sz w:val="23"/>
          <w:szCs w:val="23"/>
        </w:rPr>
        <w:t xml:space="preserve">6.4. При проведении открытых торгов устанавливается время приема предложений участников торгов о цене имущества должника, составляющее один час от времени начала </w:t>
      </w:r>
      <w:r>
        <w:rPr>
          <w:rFonts w:eastAsia="Calibri"/>
          <w:sz w:val="23"/>
          <w:szCs w:val="23"/>
        </w:rPr>
        <w:t xml:space="preserve">представления предложений о цене имущества должника до истечения времени представления предложений о цене имущества должника и не более тридцати минут после представления последнего предложен</w:t>
      </w:r>
      <w:r>
        <w:rPr>
          <w:rFonts w:eastAsia="Calibri"/>
          <w:sz w:val="23"/>
          <w:szCs w:val="23"/>
        </w:rPr>
        <w:t xml:space="preserve">ия о цене имущества должника. Если в течение указанного времени ни одного предложения о более высокой цене имущества должника не было представлено, открытые торги автоматически, при помощи программных и технических средств электронной площадки завершаются.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24" w:name="sub_1665"/>
      <w:r/>
      <w:bookmarkEnd w:id="23"/>
      <w:r>
        <w:rPr>
          <w:rFonts w:eastAsia="Calibri"/>
          <w:sz w:val="23"/>
          <w:szCs w:val="23"/>
        </w:rPr>
        <w:t xml:space="preserve">6.5. Во время проведения открытых торгов оператор электронной площадки обязан отклонить предложение о цене имущества должника в момент его поступления, если оно не соответствует положениям настоящего раздела.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25" w:name="sub_1666"/>
      <w:r/>
      <w:bookmarkEnd w:id="24"/>
      <w:r>
        <w:rPr>
          <w:rFonts w:eastAsia="Calibri"/>
          <w:sz w:val="23"/>
          <w:szCs w:val="23"/>
        </w:rPr>
        <w:t xml:space="preserve">6.6. 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</w:t>
      </w:r>
      <w:r>
        <w:rPr>
          <w:rFonts w:eastAsia="Calibri"/>
          <w:sz w:val="23"/>
          <w:szCs w:val="23"/>
        </w:rPr>
        <w:t xml:space="preserve">а.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26" w:name="sub_16610"/>
      <w:r/>
      <w:bookmarkEnd w:id="25"/>
      <w:r>
        <w:rPr>
          <w:rFonts w:eastAsia="Calibri"/>
          <w:sz w:val="23"/>
          <w:szCs w:val="23"/>
        </w:rPr>
        <w:t xml:space="preserve">6.7.</w:t>
      </w:r>
      <w:r>
        <w:rPr>
          <w:rFonts w:eastAsia="Calibri"/>
          <w:sz w:val="23"/>
          <w:szCs w:val="23"/>
        </w:rPr>
        <w:t xml:space="preserve"> </w:t>
      </w:r>
      <w:r>
        <w:rPr>
          <w:rFonts w:eastAsia="Calibri"/>
          <w:sz w:val="23"/>
          <w:szCs w:val="23"/>
        </w:rPr>
        <w:t xml:space="preserve">Победителем открытых торгов признается участник торгов, предложивший максимальную цену имущества должника.</w:t>
      </w:r>
      <w:bookmarkStart w:id="27" w:name="sub_16611"/>
      <w:r/>
      <w:bookmarkEnd w:id="26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</w:r>
      <w:bookmarkEnd w:id="27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center"/>
        <w:spacing w:before="108" w:after="108"/>
        <w:rPr>
          <w:rFonts w:eastAsia="Calibri"/>
          <w:bCs/>
          <w:i/>
          <w:sz w:val="23"/>
          <w:szCs w:val="23"/>
        </w:rPr>
        <w:outlineLvl w:val="0"/>
      </w:pPr>
      <w:r>
        <w:rPr>
          <w:rFonts w:eastAsia="Calibri"/>
          <w:bCs/>
          <w:i/>
          <w:sz w:val="23"/>
          <w:szCs w:val="23"/>
        </w:rPr>
        <w:t xml:space="preserve">7. Порядок подведения результатов проведения открытых торгов и признания открытых торгов несостоявшимися.</w:t>
      </w:r>
      <w:r>
        <w:rPr>
          <w:rFonts w:eastAsia="Calibri"/>
          <w:bCs/>
          <w:i/>
          <w:sz w:val="23"/>
          <w:szCs w:val="23"/>
        </w:rPr>
      </w:r>
      <w:r>
        <w:rPr>
          <w:rFonts w:eastAsia="Calibri"/>
          <w:bCs/>
          <w:i/>
          <w:sz w:val="23"/>
          <w:szCs w:val="23"/>
        </w:rPr>
      </w:r>
    </w:p>
    <w:p>
      <w:pPr>
        <w:ind w:firstLine="708"/>
        <w:jc w:val="both"/>
        <w:rPr>
          <w:rFonts w:eastAsia="Calibri"/>
          <w:sz w:val="23"/>
          <w:szCs w:val="23"/>
        </w:rPr>
      </w:pPr>
      <w:r/>
      <w:bookmarkStart w:id="28" w:name="sub_1771"/>
      <w:r>
        <w:rPr>
          <w:rFonts w:eastAsia="Calibri"/>
          <w:sz w:val="23"/>
          <w:szCs w:val="23"/>
        </w:rPr>
        <w:t xml:space="preserve">7.1. По результатам проведения</w:t>
      </w:r>
      <w:r>
        <w:rPr>
          <w:rFonts w:eastAsia="Calibri"/>
          <w:sz w:val="23"/>
          <w:szCs w:val="23"/>
        </w:rPr>
        <w:t xml:space="preserve">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утверждения.</w:t>
      </w:r>
      <w:bookmarkEnd w:id="28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7.2. Организатор торгов в течение одного часа с момента получения протокол</w:t>
      </w:r>
      <w:r>
        <w:rPr>
          <w:rFonts w:eastAsia="Calibri"/>
          <w:sz w:val="23"/>
          <w:szCs w:val="23"/>
        </w:rPr>
        <w:t xml:space="preserve">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Прото</w:t>
      </w:r>
      <w:r>
        <w:rPr>
          <w:rFonts w:eastAsia="Calibri"/>
          <w:sz w:val="23"/>
          <w:szCs w:val="23"/>
        </w:rPr>
        <w:t xml:space="preserve">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В протоколе о результатах проведения открытых торгов указываются: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29" w:name="sub_17721"/>
      <w:r>
        <w:rPr>
          <w:rFonts w:eastAsia="Calibri"/>
          <w:sz w:val="23"/>
          <w:szCs w:val="23"/>
        </w:rPr>
        <w:t xml:space="preserve">а).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30" w:name="sub_17722"/>
      <w:r/>
      <w:bookmarkEnd w:id="29"/>
      <w:r>
        <w:rPr>
          <w:rFonts w:eastAsia="Calibri"/>
          <w:sz w:val="23"/>
          <w:szCs w:val="23"/>
        </w:rPr>
        <w:t xml:space="preserve">б). 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31" w:name="sub_17723"/>
      <w:r/>
      <w:bookmarkEnd w:id="30"/>
      <w:r>
        <w:rPr>
          <w:rFonts w:eastAsia="Calibri"/>
          <w:sz w:val="23"/>
          <w:szCs w:val="23"/>
        </w:rPr>
        <w:t xml:space="preserve">в). результаты рассмотрения предложений о цене имущества (предприятия) должника, представленных участниками торгов;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32" w:name="sub_17724"/>
      <w:r/>
      <w:bookmarkEnd w:id="31"/>
      <w:r>
        <w:rPr>
          <w:rFonts w:eastAsia="Calibri"/>
          <w:sz w:val="23"/>
          <w:szCs w:val="23"/>
        </w:rPr>
        <w:t xml:space="preserve">г). наименование и м</w:t>
      </w:r>
      <w:r>
        <w:rPr>
          <w:rFonts w:eastAsia="Calibri"/>
          <w:sz w:val="23"/>
          <w:szCs w:val="23"/>
        </w:rPr>
        <w:t xml:space="preserve">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</w:t>
      </w:r>
      <w:r>
        <w:rPr>
          <w:rFonts w:eastAsia="Calibri"/>
          <w:sz w:val="23"/>
          <w:szCs w:val="23"/>
        </w:rPr>
        <w:t xml:space="preserve">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33" w:name="sub_17725"/>
      <w:r/>
      <w:bookmarkEnd w:id="32"/>
      <w:r>
        <w:rPr>
          <w:rFonts w:eastAsia="Calibri"/>
          <w:sz w:val="23"/>
          <w:szCs w:val="23"/>
        </w:rPr>
        <w:t xml:space="preserve">д).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jc w:val="both"/>
        <w:rPr>
          <w:rFonts w:eastAsia="Calibri"/>
          <w:sz w:val="23"/>
          <w:szCs w:val="23"/>
        </w:rPr>
      </w:pPr>
      <w:r/>
      <w:bookmarkStart w:id="34" w:name="sub_17726"/>
      <w:r/>
      <w:bookmarkEnd w:id="33"/>
      <w:r>
        <w:rPr>
          <w:rFonts w:eastAsia="Calibri"/>
          <w:sz w:val="23"/>
          <w:szCs w:val="23"/>
        </w:rPr>
        <w:t xml:space="preserve">е). обоснование принятого организатором торгов решения о признании участника торгов победителем - в случае проведения конкурса.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67"/>
        <w:jc w:val="both"/>
        <w:rPr>
          <w:rFonts w:eastAsia="Calibri"/>
          <w:sz w:val="23"/>
          <w:szCs w:val="23"/>
        </w:rPr>
      </w:pPr>
      <w:r/>
      <w:bookmarkStart w:id="35" w:name="sub_1773"/>
      <w:r/>
      <w:bookmarkEnd w:id="34"/>
      <w:r>
        <w:rPr>
          <w:rFonts w:eastAsia="Calibri"/>
          <w:sz w:val="23"/>
          <w:szCs w:val="23"/>
        </w:rPr>
        <w:t xml:space="preserve">7.3. 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/>
      <w:bookmarkStart w:id="36" w:name="sub_1775"/>
      <w:r/>
      <w:bookmarkEnd w:id="35"/>
      <w:r>
        <w:rPr>
          <w:rFonts w:eastAsia="Calibri"/>
          <w:sz w:val="23"/>
          <w:szCs w:val="23"/>
        </w:rPr>
        <w:t xml:space="preserve">7.4. </w:t>
      </w:r>
      <w:bookmarkStart w:id="37" w:name="sub_1776"/>
      <w:r/>
      <w:bookmarkEnd w:id="36"/>
      <w:r>
        <w:rPr>
          <w:sz w:val="23"/>
          <w:szCs w:val="23"/>
        </w:rPr>
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  <w:outlineLvl w:val="1"/>
      </w:pPr>
      <w:r>
        <w:rPr>
          <w:sz w:val="23"/>
          <w:szCs w:val="23"/>
        </w:rPr>
        <w:t xml:space="preserve">Если к участию в торгах был допущен только один участник, заявка которого на участие в торгах соответствует условиям то</w:t>
      </w:r>
      <w:r>
        <w:rPr>
          <w:sz w:val="23"/>
          <w:szCs w:val="23"/>
        </w:rPr>
        <w:t xml:space="preserve">ргов или содержит предложение о цене предприятия не ниже установленной начальной цены продажи предприятия, договор купли-продажи заключается конкурсным управляющим с этим участником торгов в соответствии с представленным им предложением о цене предприятия.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7.5. 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</w:t>
      </w:r>
      <w:r>
        <w:rPr>
          <w:rFonts w:eastAsia="Calibri"/>
          <w:sz w:val="23"/>
          <w:szCs w:val="23"/>
        </w:rPr>
        <w:t xml:space="preserve">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должника по сравнению с ценой, предложенной другими участниками торгов, за исключением победителя торгов.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38" w:name="sub_1777"/>
      <w:r/>
      <w:bookmarkEnd w:id="37"/>
      <w:r>
        <w:rPr>
          <w:rFonts w:eastAsia="Calibri"/>
          <w:sz w:val="23"/>
          <w:szCs w:val="23"/>
        </w:rPr>
        <w:t xml:space="preserve">7.6. В случае, если открытые торги признаны несостоявшимися,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</w:t>
      </w:r>
      <w:r>
        <w:rPr>
          <w:rFonts w:eastAsia="Calibri"/>
          <w:sz w:val="23"/>
          <w:szCs w:val="23"/>
        </w:rPr>
        <w:t xml:space="preserve">я,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39" w:name="sub_1778"/>
      <w:r/>
      <w:bookmarkEnd w:id="38"/>
      <w:r>
        <w:rPr>
          <w:rFonts w:eastAsia="Calibri"/>
          <w:sz w:val="23"/>
          <w:szCs w:val="23"/>
        </w:rPr>
        <w:t xml:space="preserve">7.7. 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д</w:t>
      </w:r>
      <w:r>
        <w:rPr>
          <w:rFonts w:eastAsia="Calibri"/>
          <w:sz w:val="23"/>
          <w:szCs w:val="23"/>
        </w:rPr>
        <w:t xml:space="preserve">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приобретено покупателем).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/>
      <w:bookmarkStart w:id="40" w:name="sub_1779"/>
      <w:r/>
      <w:bookmarkEnd w:id="39"/>
      <w:r>
        <w:rPr>
          <w:rFonts w:eastAsia="Calibri"/>
          <w:sz w:val="23"/>
          <w:szCs w:val="23"/>
        </w:rPr>
        <w:t xml:space="preserve">7.8. Если в соответстви</w:t>
      </w:r>
      <w:r>
        <w:rPr>
          <w:rFonts w:eastAsia="Calibri"/>
          <w:sz w:val="23"/>
          <w:szCs w:val="23"/>
        </w:rPr>
        <w:t xml:space="preserve">и с настоящим Положением открытые торги признаны несостоявшимся, организатор торгов в течение двух дней после утверждения протокола о признании открытых торгов несостоявшимся принимает решение о проведении повторных торгов и об установлении начальной цены.</w:t>
      </w:r>
      <w:bookmarkEnd w:id="40"/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rFonts w:eastAsia="Calibri"/>
          <w:sz w:val="23"/>
          <w:szCs w:val="23"/>
        </w:rPr>
      </w:pPr>
      <w:r>
        <w:rPr>
          <w:rFonts w:eastAsia="Calibri"/>
          <w:sz w:val="23"/>
          <w:szCs w:val="23"/>
        </w:rPr>
        <w:t xml:space="preserve">Организатор торгов в течен</w:t>
      </w:r>
      <w:r>
        <w:rPr>
          <w:rFonts w:eastAsia="Calibri"/>
          <w:sz w:val="23"/>
          <w:szCs w:val="23"/>
        </w:rPr>
        <w:t xml:space="preserve">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</w:r>
      <w:r>
        <w:rPr>
          <w:rFonts w:eastAsia="Calibri"/>
          <w:sz w:val="23"/>
          <w:szCs w:val="23"/>
        </w:rPr>
      </w:r>
      <w:r>
        <w:rPr>
          <w:rFonts w:eastAsia="Calibri"/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rFonts w:eastAsia="Calibri"/>
          <w:sz w:val="23"/>
          <w:szCs w:val="23"/>
        </w:rPr>
        <w:t xml:space="preserve">7.9. </w:t>
      </w:r>
      <w:r>
        <w:rPr>
          <w:sz w:val="23"/>
          <w:szCs w:val="23"/>
        </w:rPr>
        <w:t xml:space="preserve">В случае признания торгов несостоявшимися, а также в случае </w:t>
      </w:r>
      <w:r>
        <w:rPr>
          <w:sz w:val="23"/>
          <w:szCs w:val="23"/>
        </w:rPr>
        <w:t xml:space="preserve">незаключения</w:t>
      </w:r>
      <w:r>
        <w:rPr>
          <w:sz w:val="23"/>
          <w:szCs w:val="23"/>
        </w:rPr>
        <w:t xml:space="preserve"> договора купли-продажи по результатам торгов организатор торгов в течение двух дней после завершения срока, установленного Федеральным законо</w:t>
      </w:r>
      <w:r>
        <w:rPr>
          <w:sz w:val="23"/>
          <w:szCs w:val="23"/>
        </w:rPr>
        <w:t xml:space="preserve">м «О несостоятельности (банкротстве)»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 имущества. 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Повторные торги проводятся в порядке, установленном настоящим Положением. Начальная цена продажи имущества должника на повторных торгах устанавливается на десять процентов ниже начальной цены продажи имущества, установленной на первоначальных торгах.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7.10. В случае, если повторные торги по продаже имущества должника признаны несостоявшимися, а также в случае </w:t>
      </w:r>
      <w:r>
        <w:rPr>
          <w:sz w:val="23"/>
          <w:szCs w:val="23"/>
        </w:rPr>
        <w:t xml:space="preserve">незаключения</w:t>
      </w:r>
      <w:r>
        <w:rPr>
          <w:sz w:val="23"/>
          <w:szCs w:val="23"/>
        </w:rPr>
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 на следующих условиях: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1</w:t>
      </w:r>
      <w:r>
        <w:rPr>
          <w:sz w:val="23"/>
          <w:szCs w:val="23"/>
        </w:rPr>
        <w:t xml:space="preserve">. Начальная цена продажи имущества должника устанавливается в размере начальной цены, указанной в сообщении о продаже имущества должника на повторных торгах;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2</w:t>
      </w:r>
      <w:r>
        <w:rPr>
          <w:sz w:val="23"/>
          <w:szCs w:val="23"/>
        </w:rPr>
        <w:t xml:space="preserve">. Срок, по истечение которого последовательно снижается указанная начальная цена – через каждые </w:t>
      </w:r>
      <w:r>
        <w:rPr>
          <w:sz w:val="23"/>
          <w:szCs w:val="23"/>
        </w:rPr>
        <w:t xml:space="preserve">семь календарных</w:t>
      </w:r>
      <w:r>
        <w:rPr>
          <w:sz w:val="23"/>
          <w:szCs w:val="23"/>
        </w:rPr>
        <w:t xml:space="preserve"> с даты опубликования информационного </w:t>
      </w:r>
      <w:r>
        <w:rPr>
          <w:sz w:val="23"/>
          <w:szCs w:val="23"/>
        </w:rPr>
        <w:t xml:space="preserve">сообщения в ЕФРСБ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3</w:t>
      </w:r>
      <w:r>
        <w:rPr>
          <w:sz w:val="23"/>
          <w:szCs w:val="23"/>
        </w:rPr>
        <w:t xml:space="preserve">. Величина снижения начальной ц</w:t>
      </w:r>
      <w:r>
        <w:rPr>
          <w:sz w:val="23"/>
          <w:szCs w:val="23"/>
        </w:rPr>
        <w:t xml:space="preserve">ены лота – 5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% от начальной цены;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4</w:t>
      </w:r>
      <w:r>
        <w:rPr>
          <w:sz w:val="23"/>
          <w:szCs w:val="23"/>
        </w:rPr>
        <w:t xml:space="preserve">. М</w:t>
      </w:r>
      <w:r>
        <w:rPr>
          <w:sz w:val="23"/>
          <w:szCs w:val="23"/>
        </w:rPr>
        <w:t xml:space="preserve">ин</w:t>
      </w:r>
      <w:r>
        <w:rPr>
          <w:sz w:val="23"/>
          <w:szCs w:val="23"/>
        </w:rPr>
        <w:t xml:space="preserve">имальная це</w:t>
      </w:r>
      <w:r>
        <w:rPr>
          <w:sz w:val="23"/>
          <w:szCs w:val="23"/>
        </w:rPr>
        <w:t xml:space="preserve">на продажи лота – 2</w:t>
      </w:r>
      <w:r>
        <w:rPr>
          <w:sz w:val="23"/>
          <w:szCs w:val="23"/>
        </w:rPr>
        <w:t xml:space="preserve">0 % от цены продажи имущества, установленной на повторных торгах</w:t>
      </w:r>
      <w:r>
        <w:rPr>
          <w:sz w:val="23"/>
          <w:szCs w:val="23"/>
        </w:rPr>
        <w:t xml:space="preserve">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5</w:t>
      </w:r>
      <w:r>
        <w:rPr>
          <w:sz w:val="23"/>
          <w:szCs w:val="23"/>
        </w:rPr>
        <w:t xml:space="preserve">. Рассмотрение организатором торгов представленной заявки на участие в торгах и принятие решения о допуске заявителя к участию в торгах на определенную дату осуществляются в порядке, установленном разделах 5 и 6 настоящего Положения;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6</w:t>
      </w:r>
      <w:r>
        <w:rPr>
          <w:sz w:val="23"/>
          <w:szCs w:val="23"/>
        </w:rPr>
        <w:t xml:space="preserve">. При отсутствии в ус</w:t>
      </w:r>
      <w:r>
        <w:rPr>
          <w:sz w:val="23"/>
          <w:szCs w:val="23"/>
        </w:rPr>
        <w:t xml:space="preserve">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7</w:t>
      </w:r>
      <w:r>
        <w:rPr>
          <w:sz w:val="23"/>
          <w:szCs w:val="23"/>
        </w:rPr>
        <w:t xml:space="preserve">. Победителем торгов по продаже имущества должника посредством публичного предложения признается уча</w:t>
      </w:r>
      <w:r>
        <w:rPr>
          <w:sz w:val="23"/>
          <w:szCs w:val="23"/>
        </w:rPr>
        <w:t xml:space="preserve">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</w:t>
      </w:r>
      <w:r>
        <w:rPr>
          <w:sz w:val="23"/>
          <w:szCs w:val="23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</w:t>
      </w:r>
      <w:r>
        <w:rPr>
          <w:sz w:val="23"/>
          <w:szCs w:val="23"/>
        </w:rPr>
        <w:t xml:space="preserve">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9</w:t>
      </w:r>
      <w:r>
        <w:rPr>
          <w:sz w:val="23"/>
          <w:szCs w:val="23"/>
        </w:rPr>
        <w:t xml:space="preserve">. Договор купли-продажи заключается в течение 5 (пяти) рабочих дней с даты регистрации заявки.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</w:t>
      </w:r>
      <w:r>
        <w:rPr>
          <w:sz w:val="23"/>
          <w:szCs w:val="23"/>
        </w:rPr>
        <w:t xml:space="preserve">. Оплату имущества покупатель производит денежными средствами на счет должника в течение 30 (Тридцати) дней с даты подписания договора купли-продажи;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</w:t>
      </w:r>
      <w:r>
        <w:rPr>
          <w:sz w:val="23"/>
          <w:szCs w:val="23"/>
        </w:rPr>
        <w:t xml:space="preserve">. Право собственности на имущество переходит к покупателю после поступления оплаты в полном объеме с подписанием акта приема-передачи.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</w:t>
      </w:r>
      <w:r>
        <w:rPr>
          <w:sz w:val="23"/>
          <w:szCs w:val="23"/>
        </w:rPr>
        <w:t xml:space="preserve">. В случае если покупатель уклоняет</w:t>
      </w:r>
      <w:r>
        <w:rPr>
          <w:sz w:val="23"/>
          <w:szCs w:val="23"/>
        </w:rPr>
        <w:t xml:space="preserve">ся от оплаты имущества, организатор торгов считает заключенный договор купли-продажи расторгнутым, и реализует имущество покупателю, заявка которого поступила позднее, но в пределах действия публичного предложения по цене сложившейся на дату подачи заявки.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1</w:t>
      </w:r>
      <w:r>
        <w:rPr>
          <w:sz w:val="23"/>
          <w:szCs w:val="23"/>
        </w:rPr>
        <w:t xml:space="preserve">3</w:t>
      </w:r>
      <w:r>
        <w:rPr>
          <w:sz w:val="23"/>
          <w:szCs w:val="23"/>
        </w:rPr>
        <w:t xml:space="preserve">. В случае если лот (лоты) не реализованы посредством публичного предложения, организатор торгов реализует имущество по цене максимального предложения.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center"/>
        <w:spacing w:line="360" w:lineRule="auto"/>
        <w:tabs>
          <w:tab w:val="left" w:pos="9400" w:leader="none"/>
        </w:tabs>
        <w:rPr>
          <w:i/>
          <w:sz w:val="23"/>
          <w:szCs w:val="23"/>
        </w:rPr>
      </w:pPr>
      <w:r>
        <w:rPr>
          <w:i/>
          <w:sz w:val="23"/>
          <w:szCs w:val="23"/>
        </w:rPr>
        <w:t xml:space="preserve">8. Сроки продажи имущества должника.</w:t>
      </w:r>
      <w:r>
        <w:rPr>
          <w:i/>
          <w:sz w:val="23"/>
          <w:szCs w:val="23"/>
        </w:rPr>
      </w:r>
      <w:r>
        <w:rPr>
          <w:i/>
          <w:sz w:val="23"/>
          <w:szCs w:val="23"/>
        </w:rPr>
      </w:r>
    </w:p>
    <w:p>
      <w:pPr>
        <w:ind w:firstLine="708"/>
        <w:jc w:val="both"/>
        <w:spacing w:after="200"/>
        <w:rPr>
          <w:rFonts w:eastAsia="MS Mincho"/>
          <w:sz w:val="23"/>
          <w:szCs w:val="23"/>
          <w:lang w:eastAsia="ja-JP"/>
        </w:rPr>
      </w:pPr>
      <w:r>
        <w:rPr>
          <w:rFonts w:eastAsia="MS Mincho"/>
          <w:sz w:val="23"/>
          <w:szCs w:val="23"/>
          <w:lang w:eastAsia="ja-JP"/>
        </w:rPr>
        <w:t xml:space="preserve">8.1.  Имущество должника, реализуется в кратчайшие сроки с учетом требований Закона о банкротстве, но не позднее окончания</w:t>
      </w:r>
      <w:r>
        <w:rPr>
          <w:rFonts w:eastAsia="MS Mincho"/>
          <w:sz w:val="23"/>
          <w:szCs w:val="23"/>
          <w:lang w:eastAsia="ja-JP"/>
        </w:rPr>
        <w:t xml:space="preserve"> сроков процедуры банкротства</w:t>
      </w:r>
      <w:r>
        <w:rPr>
          <w:rFonts w:eastAsia="MS Mincho"/>
          <w:sz w:val="23"/>
          <w:szCs w:val="23"/>
          <w:lang w:eastAsia="ja-JP"/>
        </w:rPr>
        <w:t xml:space="preserve">. </w:t>
      </w:r>
      <w:r>
        <w:rPr>
          <w:rFonts w:eastAsia="MS Mincho"/>
          <w:sz w:val="23"/>
          <w:szCs w:val="23"/>
          <w:lang w:eastAsia="ja-JP"/>
        </w:rPr>
      </w:r>
      <w:r>
        <w:rPr>
          <w:rFonts w:eastAsia="MS Mincho"/>
          <w:sz w:val="23"/>
          <w:szCs w:val="23"/>
          <w:lang w:eastAsia="ja-JP"/>
        </w:rPr>
      </w:r>
    </w:p>
    <w:p>
      <w:pPr>
        <w:ind w:firstLine="708"/>
        <w:spacing w:after="200"/>
        <w:rPr>
          <w:rFonts w:eastAsia="MS Mincho"/>
          <w:sz w:val="23"/>
          <w:szCs w:val="23"/>
          <w:lang w:eastAsia="ja-JP"/>
        </w:rPr>
      </w:pPr>
      <w:r>
        <w:rPr>
          <w:rFonts w:eastAsia="MS Mincho"/>
          <w:sz w:val="23"/>
          <w:szCs w:val="23"/>
          <w:lang w:eastAsia="ja-JP"/>
        </w:rPr>
        <w:t xml:space="preserve">8.2.  Под сроками реализации имущества понимается срок заключения договоров купли-продажи имущества.</w:t>
      </w:r>
      <w:r>
        <w:rPr>
          <w:rFonts w:eastAsia="MS Mincho"/>
          <w:sz w:val="23"/>
          <w:szCs w:val="23"/>
          <w:lang w:eastAsia="ja-JP"/>
        </w:rPr>
      </w:r>
      <w:r>
        <w:rPr>
          <w:rFonts w:eastAsia="MS Mincho"/>
          <w:sz w:val="23"/>
          <w:szCs w:val="23"/>
          <w:lang w:eastAsia="ja-JP"/>
        </w:rPr>
      </w:r>
    </w:p>
    <w:p>
      <w:pPr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rPr>
          <w:sz w:val="23"/>
          <w:szCs w:val="23"/>
        </w:rPr>
      </w:pP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rPr>
          <w:sz w:val="23"/>
          <w:szCs w:val="23"/>
        </w:rPr>
      </w:pPr>
      <w:r>
        <w:rPr>
          <w:sz w:val="23"/>
          <w:szCs w:val="23"/>
        </w:rPr>
        <w:t xml:space="preserve">Финансовый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управляющий: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                        </w:t>
      </w:r>
      <w:r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     </w:t>
      </w:r>
      <w:r>
        <w:rPr>
          <w:sz w:val="23"/>
          <w:szCs w:val="23"/>
        </w:rPr>
        <w:t xml:space="preserve">      ________________ </w:t>
      </w:r>
      <w:r>
        <w:rPr>
          <w:sz w:val="23"/>
          <w:szCs w:val="23"/>
        </w:rPr>
        <w:t xml:space="preserve">Архипов К.О.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</w:r>
      <w:r>
        <w:rPr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  <w:r>
        <w:rPr>
          <w:rFonts w:ascii="Times New Roman" w:hAnsi="Times New Roman"/>
          <w:sz w:val="23"/>
          <w:szCs w:val="23"/>
        </w:rPr>
      </w:r>
      <w:r>
        <w:rPr>
          <w:sz w:val="23"/>
          <w:szCs w:val="23"/>
        </w:rPr>
      </w:r>
    </w:p>
    <w:sectPr>
      <w:footnotePr/>
      <w:endnotePr/>
      <w:type w:val="nextPage"/>
      <w:pgSz w:w="11906" w:h="16838" w:orient="portrait"/>
      <w:pgMar w:top="425" w:right="709" w:bottom="567" w:left="709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panose1 w:val="02020609040205080304"/>
  </w:font>
  <w:font w:name="Segoe UI">
    <w:panose1 w:val="020B0502040204020203"/>
  </w:font>
  <w:font w:name="Garamond">
    <w:panose1 w:val="02020404030301010803"/>
  </w:font>
  <w:font w:name="Century Gothic">
    <w:panose1 w:val="020B0502020202020204"/>
  </w:font>
  <w:font w:name="Calibri">
    <w:panose1 w:val="020F0502020204030204"/>
  </w:font>
  <w:font w:name="Consultant">
    <w:panose1 w:val="02000603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0"/>
    <w:uiPriority w:val="34"/>
    <w:qFormat/>
    <w:pPr>
      <w:contextualSpacing/>
      <w:ind w:left="720"/>
    </w:pPr>
  </w:style>
  <w:style w:type="paragraph" w:styleId="673">
    <w:name w:val="Title"/>
    <w:basedOn w:val="830"/>
    <w:next w:val="830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30"/>
    <w:next w:val="830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30"/>
    <w:next w:val="830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0"/>
    <w:next w:val="830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0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1"/>
    <w:link w:val="681"/>
    <w:uiPriority w:val="99"/>
  </w:style>
  <w:style w:type="paragraph" w:styleId="683">
    <w:name w:val="Footer"/>
    <w:basedOn w:val="830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1"/>
    <w:link w:val="683"/>
    <w:uiPriority w:val="99"/>
  </w:style>
  <w:style w:type="paragraph" w:styleId="685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>
    <w:name w:val="Hyperlink"/>
    <w:basedOn w:val="831"/>
    <w:uiPriority w:val="99"/>
    <w:semiHidden/>
    <w:unhideWhenUsed/>
    <w:rPr>
      <w:color w:val="0000ff"/>
      <w:u w:val="single"/>
    </w:rPr>
  </w:style>
  <w:style w:type="paragraph" w:styleId="835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paragraph" w:styleId="836" w:customStyle="1">
    <w:name w:val="Style3"/>
    <w:basedOn w:val="830"/>
    <w:pPr>
      <w:jc w:val="right"/>
      <w:spacing w:line="586" w:lineRule="exact"/>
      <w:widowControl w:val="off"/>
    </w:pPr>
    <w:rPr>
      <w:rFonts w:ascii="Century Gothic" w:hAnsi="Century Gothic"/>
    </w:rPr>
  </w:style>
  <w:style w:type="paragraph" w:styleId="837" w:customStyle="1">
    <w:name w:val="ConsNonformat"/>
    <w:pPr>
      <w:spacing w:after="0" w:line="240" w:lineRule="auto"/>
    </w:pPr>
    <w:rPr>
      <w:rFonts w:ascii="Consultant" w:hAnsi="Consultant" w:eastAsia="Arial" w:cs="Times New Roman"/>
      <w:sz w:val="24"/>
      <w:szCs w:val="20"/>
      <w:lang w:eastAsia="ar-SA"/>
    </w:rPr>
  </w:style>
  <w:style w:type="paragraph" w:styleId="838" w:customStyle="1">
    <w:name w:val="òåêñò_áåç"/>
    <w:basedOn w:val="830"/>
    <w:pPr>
      <w:ind w:firstLine="567"/>
      <w:jc w:val="both"/>
    </w:pPr>
    <w:rPr>
      <w:rFonts w:ascii="Garamond" w:hAnsi="Garamond"/>
      <w:sz w:val="26"/>
      <w:szCs w:val="20"/>
    </w:rPr>
  </w:style>
  <w:style w:type="paragraph" w:styleId="839">
    <w:name w:val="Balloon Text"/>
    <w:basedOn w:val="830"/>
    <w:link w:val="84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40" w:customStyle="1">
    <w:name w:val="Текст выноски Знак"/>
    <w:basedOn w:val="831"/>
    <w:link w:val="839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character" w:styleId="841">
    <w:name w:val="Strong"/>
    <w:basedOn w:val="831"/>
    <w:uiPriority w:val="22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Галим</dc:creator>
  <cp:keywords/>
  <dc:description/>
  <cp:revision>25</cp:revision>
  <dcterms:created xsi:type="dcterms:W3CDTF">2017-07-17T05:13:00Z</dcterms:created>
  <dcterms:modified xsi:type="dcterms:W3CDTF">2024-12-16T08:50:29Z</dcterms:modified>
</cp:coreProperties>
</file>