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5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Договор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 внесении задатка для участия в электронных торгах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г. Оренбург</w:t>
      </w:r>
      <w:r>
        <w:rPr>
          <w:rFonts w:ascii="Times New Roman" w:hAnsi="Times New Roman"/>
        </w:rPr>
        <w:t xml:space="preserve">        </w:t>
      </w:r>
      <w:r>
        <w:rPr>
          <w:rFonts w:ascii="Times New Roman" w:hAnsi="Times New Roman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_</w:t>
      </w:r>
      <w:r>
        <w:rPr>
          <w:rFonts w:ascii="Times New Roman" w:hAnsi="Times New Roman"/>
        </w:rPr>
        <w:t xml:space="preserve">_  _</w:t>
      </w:r>
      <w:r>
        <w:rPr>
          <w:rFonts w:ascii="Times New Roman" w:hAnsi="Times New Roman"/>
        </w:rPr>
        <w:t xml:space="preserve">_________ 202</w:t>
      </w:r>
      <w:r>
        <w:rPr>
          <w:rFonts w:ascii="Times New Roman" w:hAnsi="Times New Roman"/>
        </w:rPr>
        <w:t xml:space="preserve">5 </w:t>
      </w:r>
      <w:r>
        <w:rPr>
          <w:rFonts w:ascii="Times New Roman" w:hAnsi="Times New Roman"/>
        </w:rPr>
        <w:t xml:space="preserve">г.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  <w:shd w:val="clear" w:color="auto" w:fill="ffffff"/>
        </w:rPr>
        <w:t xml:space="preserve">Ф</w:t>
      </w:r>
      <w:r>
        <w:rPr>
          <w:rFonts w:ascii="Times New Roman" w:hAnsi="Times New Roman"/>
          <w:color w:val="000000"/>
          <w:shd w:val="clear" w:color="auto" w:fill="ffffff"/>
        </w:rPr>
        <w:t xml:space="preserve">инансовый управляющий </w:t>
      </w:r>
      <w:r>
        <w:rPr>
          <w:rFonts w:ascii="Times New Roman" w:hAnsi="Times New Roman"/>
          <w:bCs/>
          <w:color w:val="000000"/>
          <w:shd w:val="clear" w:color="auto" w:fill="ffffff"/>
        </w:rPr>
        <w:t xml:space="preserve">Архипов Константин Олегович</w:t>
      </w:r>
      <w:r>
        <w:rPr>
          <w:rFonts w:ascii="Times New Roman" w:hAnsi="Times New Roman"/>
          <w:color w:val="000000"/>
          <w:shd w:val="clear" w:color="auto" w:fill="ffffff"/>
        </w:rPr>
        <w:t xml:space="preserve">, </w:t>
      </w:r>
      <w:r>
        <w:rPr>
          <w:rFonts w:ascii="Times New Roman" w:hAnsi="Times New Roman"/>
          <w:color w:val="000000"/>
          <w:shd w:val="clear" w:color="auto" w:fill="ffffff"/>
        </w:rPr>
        <w:t xml:space="preserve">д</w:t>
      </w:r>
      <w:r>
        <w:rPr>
          <w:rFonts w:ascii="Times New Roman" w:hAnsi="Times New Roman"/>
          <w:color w:val="000000"/>
          <w:shd w:val="clear" w:color="auto" w:fill="ffffff"/>
        </w:rPr>
        <w:t xml:space="preserve">ействующий на основании решения </w:t>
      </w:r>
      <w:r>
        <w:rPr>
          <w:rFonts w:ascii="Times New Roman" w:hAnsi="Times New Roman"/>
          <w:color w:val="000000"/>
          <w:shd w:val="clear" w:color="auto" w:fill="ffffff"/>
        </w:rPr>
        <w:t xml:space="preserve">Арбитражного су</w:t>
      </w:r>
      <w:r>
        <w:rPr>
          <w:rFonts w:ascii="Times New Roman" w:hAnsi="Times New Roman"/>
          <w:color w:val="000000"/>
          <w:shd w:val="clear" w:color="auto" w:fill="ffffff"/>
        </w:rPr>
        <w:t xml:space="preserve">да Оренбургской </w:t>
      </w:r>
      <w:r>
        <w:rPr>
          <w:rFonts w:ascii="Times New Roman" w:hAnsi="Times New Roman"/>
          <w:color w:val="000000"/>
          <w:shd w:val="clear" w:color="auto" w:fill="ffffff"/>
        </w:rPr>
        <w:t xml:space="preserve">области от</w:t>
      </w:r>
      <w:r>
        <w:rPr>
          <w:rFonts w:ascii="Times New Roman" w:hAnsi="Times New Roman"/>
          <w:color w:val="000000"/>
          <w:shd w:val="clear" w:color="auto" w:fill="ffffff"/>
        </w:rPr>
        <w:t xml:space="preserve"> </w:t>
      </w:r>
      <w:r>
        <w:rPr>
          <w:rFonts w:ascii="Times New Roman" w:hAnsi="Times New Roman"/>
          <w:color w:val="000000"/>
          <w:shd w:val="clear" w:color="auto" w:fill="ffffff"/>
        </w:rPr>
        <w:t xml:space="preserve">27.06.2025 г. по делу №А47-5552/2024</w:t>
      </w:r>
      <w:r>
        <w:rPr>
          <w:rFonts w:ascii="Times New Roman" w:hAnsi="Times New Roman"/>
        </w:rPr>
        <w:t xml:space="preserve">, именуемый</w:t>
      </w:r>
      <w:r>
        <w:rPr>
          <w:rFonts w:ascii="Times New Roman" w:hAnsi="Times New Roman"/>
        </w:rPr>
        <w:t xml:space="preserve"> в дальнейшем «Организатор торгов», с одной стороны и 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___________________________________________________________________, именуемый(-</w:t>
      </w:r>
      <w:r>
        <w:rPr>
          <w:rFonts w:ascii="Times New Roman" w:hAnsi="Times New Roman"/>
        </w:rPr>
        <w:t xml:space="preserve">ое</w:t>
      </w:r>
      <w:r>
        <w:rPr>
          <w:rFonts w:ascii="Times New Roman" w:hAnsi="Times New Roman"/>
        </w:rPr>
        <w:t xml:space="preserve">) в дальнейшем </w:t>
      </w:r>
      <w:r>
        <w:rPr>
          <w:rFonts w:ascii="Times New Roman" w:hAnsi="Times New Roman"/>
          <w:bCs/>
        </w:rPr>
        <w:t xml:space="preserve">“Заявитель”</w:t>
      </w:r>
      <w:r>
        <w:rPr>
          <w:rFonts w:ascii="Times New Roman" w:hAnsi="Times New Roman"/>
        </w:rPr>
        <w:t xml:space="preserve">, в лице ________________________________, действующего на основании __________________________________________________________, с другой стороны, заключили настоящи</w:t>
      </w:r>
      <w:r>
        <w:rPr>
          <w:rFonts w:ascii="Times New Roman" w:hAnsi="Times New Roman"/>
        </w:rPr>
        <w:t xml:space="preserve">й Договор о нижеследующем: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 Заявитель для </w:t>
      </w:r>
      <w:r>
        <w:rPr>
          <w:rFonts w:ascii="Times New Roman" w:hAnsi="Times New Roman"/>
        </w:rPr>
        <w:t xml:space="preserve">участия в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открытых торгах (</w:t>
      </w:r>
      <w:r>
        <w:rPr>
          <w:rFonts w:ascii="Times New Roman" w:hAnsi="Times New Roman"/>
        </w:rPr>
        <w:t xml:space="preserve">открытый электронный аукцион</w:t>
      </w:r>
      <w:r>
        <w:rPr>
          <w:rFonts w:ascii="Times New Roman" w:hAnsi="Times New Roman"/>
        </w:rPr>
        <w:t xml:space="preserve">)</w:t>
      </w:r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 xml:space="preserve">проводимых</w:t>
      </w:r>
      <w:r>
        <w:rPr>
          <w:rFonts w:ascii="Times New Roman" w:hAnsi="Times New Roman"/>
        </w:rPr>
        <w:t xml:space="preserve"> ________ г.</w:t>
      </w:r>
      <w:r>
        <w:rPr>
          <w:rFonts w:ascii="Times New Roman" w:hAnsi="Times New Roman"/>
        </w:rPr>
        <w:t xml:space="preserve"> на </w:t>
      </w:r>
      <w:r>
        <w:rPr>
          <w:rFonts w:ascii="Times New Roman" w:hAnsi="Times New Roman"/>
        </w:rPr>
        <w:t xml:space="preserve">(ЭТП) </w:t>
      </w:r>
      <w:r>
        <w:rPr>
          <w:rFonts w:ascii="Times New Roman" w:hAnsi="Times New Roman"/>
        </w:rPr>
        <w:t xml:space="preserve">«Новые информационные сервисы»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по продаже и</w:t>
      </w:r>
      <w:r>
        <w:rPr>
          <w:rFonts w:ascii="Times New Roman" w:hAnsi="Times New Roman"/>
        </w:rPr>
        <w:t xml:space="preserve">мущества </w:t>
      </w:r>
      <w:r>
        <w:rPr>
          <w:rFonts w:ascii="Times New Roman" w:hAnsi="Times New Roman"/>
        </w:rPr>
        <w:t xml:space="preserve">гражданина</w:t>
      </w:r>
      <w:r>
        <w:rPr>
          <w:rFonts w:ascii="Times New Roman" w:hAnsi="Times New Roman"/>
        </w:rPr>
        <w:t xml:space="preserve"> Бекбаевой У.Р. </w:t>
      </w:r>
      <w:r>
        <w:rPr>
          <w:rFonts w:ascii="Times New Roman" w:hAnsi="Times New Roman"/>
        </w:rPr>
        <w:t xml:space="preserve">в соответствии с </w:t>
      </w:r>
      <w:r>
        <w:rPr>
          <w:rFonts w:ascii="Times New Roman" w:hAnsi="Times New Roman"/>
        </w:rPr>
        <w:t xml:space="preserve">сообщением о проведении торгов по пр</w:t>
      </w:r>
      <w:r>
        <w:rPr>
          <w:rFonts w:ascii="Times New Roman" w:hAnsi="Times New Roman"/>
        </w:rPr>
        <w:t xml:space="preserve">одаже имущества</w:t>
      </w:r>
      <w:r>
        <w:rPr>
          <w:rFonts w:ascii="Times New Roman" w:hAnsi="Times New Roman"/>
        </w:rPr>
        <w:t xml:space="preserve">,</w:t>
      </w:r>
      <w:r>
        <w:rPr>
          <w:rFonts w:ascii="Times New Roman" w:hAnsi="Times New Roman"/>
        </w:rPr>
        <w:t xml:space="preserve"> опублико</w:t>
      </w:r>
      <w:r>
        <w:rPr>
          <w:rFonts w:ascii="Times New Roman" w:hAnsi="Times New Roman"/>
        </w:rPr>
        <w:t xml:space="preserve">ван</w:t>
      </w:r>
      <w:r>
        <w:rPr>
          <w:rFonts w:ascii="Times New Roman" w:hAnsi="Times New Roman"/>
        </w:rPr>
        <w:t xml:space="preserve">ным в</w:t>
      </w:r>
      <w:r>
        <w:rPr>
          <w:rFonts w:ascii="Times New Roman" w:hAnsi="Times New Roman"/>
        </w:rPr>
        <w:t xml:space="preserve"> ЕФРСБ</w:t>
      </w:r>
      <w:r>
        <w:rPr>
          <w:rFonts w:ascii="Times New Roman" w:hAnsi="Times New Roman"/>
        </w:rPr>
        <w:t xml:space="preserve"> 24.01.2025 г.</w:t>
      </w:r>
      <w:r>
        <w:rPr>
          <w:rFonts w:ascii="Times New Roman" w:hAnsi="Times New Roman"/>
        </w:rPr>
        <w:t xml:space="preserve">, перечисляет</w:t>
      </w:r>
      <w:r>
        <w:rPr>
          <w:rFonts w:ascii="Times New Roman" w:hAnsi="Times New Roman"/>
        </w:rPr>
        <w:t xml:space="preserve"> денежные средства в размере _______ руб.</w:t>
      </w:r>
      <w:r>
        <w:rPr>
          <w:rFonts w:ascii="Times New Roman" w:hAnsi="Times New Roman"/>
        </w:rPr>
        <w:t xml:space="preserve">, составляющие </w:t>
      </w:r>
      <w:r>
        <w:rPr>
          <w:rFonts w:ascii="Times New Roman" w:hAnsi="Times New Roman"/>
        </w:rPr>
        <w:t xml:space="preserve">10% от первоначальной стоимости имущества</w:t>
      </w:r>
      <w:r>
        <w:rPr>
          <w:rFonts w:ascii="Times New Roman" w:hAnsi="Times New Roman"/>
        </w:rPr>
        <w:t xml:space="preserve"> (далее – </w:t>
      </w:r>
      <w:r>
        <w:rPr>
          <w:rFonts w:ascii="Times New Roman" w:hAnsi="Times New Roman"/>
          <w:bCs/>
        </w:rPr>
        <w:t xml:space="preserve">“задаток”</w:t>
      </w:r>
      <w:r>
        <w:rPr>
          <w:rFonts w:ascii="Times New Roman" w:hAnsi="Times New Roman"/>
        </w:rPr>
        <w:t xml:space="preserve">) в счет обеспечения исполнения обязательств по оплате продаваемого на торгах Имущества по Лоту №</w:t>
      </w:r>
      <w:r>
        <w:rPr>
          <w:rFonts w:ascii="Times New Roman" w:hAnsi="Times New Roman"/>
        </w:rPr>
        <w:t xml:space="preserve">1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ind w:left="-142" w:firstLine="426"/>
        <w:jc w:val="both"/>
        <w:rPr>
          <w:color w:val="000000" w:themeColor="text1"/>
        </w:rPr>
      </w:pPr>
      <w:r>
        <w:rPr>
          <w:sz w:val="22"/>
          <w:szCs w:val="22"/>
        </w:rPr>
        <w:t xml:space="preserve">2. Задаток должен быть </w:t>
      </w:r>
      <w:r>
        <w:rPr>
          <w:sz w:val="22"/>
          <w:szCs w:val="22"/>
        </w:rPr>
        <w:t xml:space="preserve">уплач</w:t>
      </w:r>
      <w:r>
        <w:rPr>
          <w:sz w:val="22"/>
          <w:szCs w:val="22"/>
        </w:rPr>
        <w:t xml:space="preserve">ен Заявителем на</w:t>
      </w:r>
      <w:r>
        <w:rPr>
          <w:sz w:val="22"/>
          <w:szCs w:val="22"/>
        </w:rPr>
        <w:t xml:space="preserve"> </w:t>
      </w:r>
      <w:r>
        <w:rPr>
          <w:rFonts w:eastAsia="Calibri"/>
          <w:color w:val="000000" w:themeColor="text1"/>
          <w:sz w:val="22"/>
          <w:szCs w:val="22"/>
        </w:rPr>
        <w:t xml:space="preserve">банковский счет</w:t>
      </w:r>
      <w:r>
        <w:rPr>
          <w:rFonts w:eastAsia="Calibri"/>
          <w:color w:val="000000" w:themeColor="text1"/>
          <w:sz w:val="22"/>
          <w:szCs w:val="22"/>
        </w:rPr>
        <w:t xml:space="preserve"> должника</w:t>
      </w:r>
      <w:r>
        <w:rPr>
          <w:rFonts w:eastAsia="Calibri"/>
          <w:color w:val="000000" w:themeColor="text1"/>
          <w:sz w:val="22"/>
          <w:szCs w:val="22"/>
        </w:rPr>
        <w:t xml:space="preserve"> Бекбаевой Ульмикен Роллановны</w:t>
      </w:r>
      <w:r>
        <w:rPr>
          <w:rFonts w:eastAsia="Calibri"/>
          <w:color w:val="000000" w:themeColor="text1"/>
          <w:sz w:val="22"/>
          <w:szCs w:val="22"/>
        </w:rPr>
        <w:t xml:space="preserve">: р/с </w:t>
      </w:r>
      <w:r>
        <w:rPr>
          <w:rFonts w:eastAsia="Calibri"/>
          <w:color w:val="000000" w:themeColor="text1"/>
          <w:sz w:val="22"/>
          <w:szCs w:val="22"/>
        </w:rPr>
        <w:t xml:space="preserve">40817810850183041203</w:t>
      </w:r>
      <w:r>
        <w:rPr>
          <w:rFonts w:eastAsia="Calibri"/>
          <w:color w:val="000000" w:themeColor="text1"/>
          <w:sz w:val="22"/>
          <w:szCs w:val="22"/>
        </w:rPr>
        <w:t xml:space="preserve">, открытый в ПАО "Совкомбанк" БИК 045004763 ИНН 4401116480 ОГРН 1144400000425, Корр/счет 30101810150040000763, КПП 544543001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с </w:t>
      </w:r>
      <w:r>
        <w:rPr>
          <w:b/>
          <w:sz w:val="22"/>
          <w:szCs w:val="22"/>
        </w:rPr>
        <w:t xml:space="preserve">09</w:t>
      </w:r>
      <w:r>
        <w:rPr>
          <w:b/>
          <w:sz w:val="22"/>
          <w:szCs w:val="22"/>
        </w:rPr>
        <w:t xml:space="preserve">:00ч. </w:t>
      </w:r>
      <w:r>
        <w:rPr>
          <w:b/>
          <w:sz w:val="22"/>
          <w:szCs w:val="22"/>
        </w:rPr>
        <w:t xml:space="preserve">27.0</w:t>
      </w:r>
      <w:r>
        <w:rPr>
          <w:b/>
          <w:sz w:val="22"/>
          <w:szCs w:val="22"/>
        </w:rPr>
        <w:t xml:space="preserve">1.</w:t>
      </w:r>
      <w:r>
        <w:rPr>
          <w:b/>
          <w:sz w:val="22"/>
          <w:szCs w:val="22"/>
        </w:rPr>
        <w:t xml:space="preserve">20</w:t>
      </w:r>
      <w:r>
        <w:rPr>
          <w:b/>
          <w:sz w:val="22"/>
          <w:szCs w:val="22"/>
        </w:rPr>
        <w:t xml:space="preserve">2</w:t>
      </w:r>
      <w:r>
        <w:rPr>
          <w:b/>
          <w:sz w:val="22"/>
          <w:szCs w:val="22"/>
        </w:rPr>
        <w:t xml:space="preserve">5 </w:t>
      </w:r>
      <w:r>
        <w:rPr>
          <w:b/>
          <w:sz w:val="22"/>
          <w:szCs w:val="22"/>
        </w:rPr>
        <w:t xml:space="preserve">г. по 16</w:t>
      </w:r>
      <w:r>
        <w:rPr>
          <w:b/>
          <w:sz w:val="22"/>
          <w:szCs w:val="22"/>
        </w:rPr>
        <w:t xml:space="preserve">:00 ч. </w:t>
      </w:r>
      <w:r>
        <w:rPr>
          <w:b/>
          <w:sz w:val="22"/>
          <w:szCs w:val="22"/>
        </w:rPr>
        <w:t xml:space="preserve">28.</w:t>
      </w:r>
      <w:r>
        <w:rPr>
          <w:b/>
          <w:sz w:val="22"/>
          <w:szCs w:val="22"/>
        </w:rPr>
        <w:t xml:space="preserve">01.</w:t>
      </w:r>
      <w:r>
        <w:rPr>
          <w:b/>
          <w:sz w:val="22"/>
          <w:szCs w:val="22"/>
        </w:rPr>
        <w:t xml:space="preserve">20</w:t>
      </w:r>
      <w:r>
        <w:rPr>
          <w:b/>
          <w:sz w:val="22"/>
          <w:szCs w:val="22"/>
        </w:rPr>
        <w:t xml:space="preserve">2</w:t>
      </w:r>
      <w:r>
        <w:rPr>
          <w:b/>
          <w:sz w:val="22"/>
          <w:szCs w:val="22"/>
        </w:rPr>
        <w:t xml:space="preserve">5 </w:t>
      </w:r>
      <w:r>
        <w:rPr>
          <w:b/>
          <w:sz w:val="22"/>
          <w:szCs w:val="22"/>
        </w:rPr>
        <w:t xml:space="preserve">г. (время Мск.)</w:t>
      </w:r>
      <w:r>
        <w:rPr>
          <w:sz w:val="22"/>
          <w:szCs w:val="22"/>
        </w:rPr>
        <w:t xml:space="preserve"> и считается внесенным с даты поступления всей суммы задатка на указанный счет.  </w:t>
      </w:r>
      <w:r>
        <w:rPr>
          <w:color w:val="000000" w:themeColor="text1"/>
        </w:rPr>
      </w:r>
      <w:r>
        <w:rPr>
          <w:color w:val="000000" w:themeColor="text1"/>
        </w:rPr>
      </w:r>
    </w:p>
    <w:p>
      <w:pPr>
        <w:ind w:left="-142" w:firstLine="426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не поступления задатка на этот счет до указанной даты либо перечисления задатка не в полном объеме, обязательства по внесению задатка считаются не исполненными и Заявитель к участию в торгах не допускается.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 Сум</w:t>
      </w:r>
      <w:r>
        <w:rPr>
          <w:rFonts w:ascii="Times New Roman" w:hAnsi="Times New Roman"/>
        </w:rPr>
        <w:t xml:space="preserve">ма внесенного задатка возвращается лицам, участвовавшим в торгах, но не выигравшим их, путем перечисления денежных средств на счет, с которого поступил задаток в течение 5 рабочих дней со дня утверждения Организатором торгов протокола о результатах торгов.</w:t>
      </w:r>
      <w:r>
        <w:rPr>
          <w:rFonts w:ascii="Times New Roman" w:hAnsi="Times New Roman"/>
        </w:rPr>
        <w:t xml:space="preserve"> Для возврата задатка на иные реквизиты Заявитель должен подать организатору торгов заявление с указанием иных реквизитов либо указать такие реквизиты в заявке на участие в торгах</w:t>
      </w:r>
      <w:r>
        <w:rPr>
          <w:rFonts w:ascii="Times New Roman" w:hAnsi="Times New Roman"/>
        </w:rPr>
        <w:t xml:space="preserve">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 В случае признания Заявителя победителем торгов, сумма внесенного им задатка засчитывается в счет уплаты соответствующей части покупной цены (покупная цена уменьшается на сумму уплаченного задатка).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5"/>
        <w:ind w:left="-142" w:firstLine="426"/>
        <w:jc w:val="both"/>
        <w:rPr>
          <w:rStyle w:val="836"/>
          <w:rFonts w:ascii="Times New Roman" w:hAnsi="Times New Roman"/>
        </w:rPr>
      </w:pPr>
      <w:r>
        <w:rPr>
          <w:rFonts w:ascii="Times New Roman" w:hAnsi="Times New Roman"/>
        </w:rPr>
        <w:t xml:space="preserve">5. Задаток не возвращается в случае, если Заявитель, признанный победителем торгов в установленный в сообщении о проведении торгов срок уклонится от подписания договора купли-продажи и/или от оплаты имущества, выставлявшегося на торги. </w:t>
      </w:r>
      <w:r>
        <w:rPr>
          <w:rStyle w:val="836"/>
          <w:rFonts w:ascii="Times New Roman" w:hAnsi="Times New Roman"/>
        </w:rPr>
      </w:r>
      <w:r>
        <w:rPr>
          <w:rStyle w:val="836"/>
          <w:rFonts w:ascii="Times New Roman" w:hAnsi="Times New Roman"/>
        </w:rPr>
      </w:r>
    </w:p>
    <w:p>
      <w:pPr>
        <w:pStyle w:val="835"/>
        <w:ind w:left="-142"/>
        <w:jc w:val="both"/>
        <w:rPr>
          <w:rFonts w:ascii="Times New Roman" w:hAnsi="Times New Roman"/>
          <w:highlight w:val="cyan"/>
        </w:rPr>
      </w:pPr>
      <w:r>
        <w:rPr>
          <w:rFonts w:ascii="Times New Roman" w:hAnsi="Times New Roman"/>
          <w:highlight w:val="cyan"/>
        </w:rPr>
      </w:r>
      <w:r>
        <w:rPr>
          <w:rFonts w:ascii="Times New Roman" w:hAnsi="Times New Roman"/>
          <w:highlight w:val="cyan"/>
        </w:rPr>
      </w:r>
      <w:r>
        <w:rPr>
          <w:rFonts w:ascii="Times New Roman" w:hAnsi="Times New Roman"/>
          <w:highlight w:val="cyan"/>
        </w:rPr>
      </w:r>
    </w:p>
    <w:p>
      <w:pPr>
        <w:pStyle w:val="835"/>
        <w:ind w:left="-142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837"/>
        <w:ind w:left="-142" w:right="0" w:firstLine="0"/>
        <w:jc w:val="center"/>
        <w:widowControl/>
        <w:rPr>
          <w:rFonts w:ascii="Times New Roman" w:hAnsi="Times New Roman" w:cs="Times New Roman"/>
          <w:bCs/>
          <w:sz w:val="22"/>
          <w:szCs w:val="22"/>
        </w:rPr>
      </w:pPr>
      <w:r>
        <w:rPr>
          <w:rFonts w:ascii="Times New Roman" w:hAnsi="Times New Roman" w:cs="Times New Roman"/>
          <w:bCs/>
          <w:sz w:val="22"/>
          <w:szCs w:val="22"/>
        </w:rPr>
        <w:t xml:space="preserve">Адреса и реквизиты сторон</w:t>
      </w:r>
      <w:r>
        <w:rPr>
          <w:rFonts w:ascii="Times New Roman" w:hAnsi="Times New Roman" w:cs="Times New Roman"/>
          <w:bCs/>
          <w:sz w:val="22"/>
          <w:szCs w:val="22"/>
        </w:rPr>
      </w:r>
      <w:r>
        <w:rPr>
          <w:rFonts w:ascii="Times New Roman" w:hAnsi="Times New Roman" w:cs="Times New Roman"/>
          <w:bCs/>
          <w:sz w:val="22"/>
          <w:szCs w:val="22"/>
        </w:rPr>
      </w:r>
    </w:p>
    <w:tbl>
      <w:tblPr>
        <w:tblW w:w="0" w:type="auto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4902"/>
        <w:gridCol w:w="4953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02" w:type="dxa"/>
            <w:textDirection w:val="lrTb"/>
            <w:noWrap w:val="false"/>
          </w:tcPr>
          <w:p>
            <w:pPr>
              <w:pStyle w:val="830"/>
              <w:ind w:left="-142"/>
              <w:jc w:val="center"/>
              <w:rPr>
                <w:rFonts w:ascii="Times New Roman" w:hAnsi="Times New Roman" w:eastAsia="Arial Unicode MS"/>
                <w:b w:val="0"/>
                <w:bCs w:val="0"/>
              </w:rPr>
            </w:pPr>
            <w:r>
              <w:rPr>
                <w:rFonts w:ascii="Times New Roman" w:hAnsi="Times New Roman" w:eastAsia="Arial Unicode MS"/>
                <w:b w:val="0"/>
                <w:bCs w:val="0"/>
              </w:rPr>
              <w:t xml:space="preserve">Заявитель:</w:t>
            </w:r>
            <w:r>
              <w:rPr>
                <w:rFonts w:ascii="Times New Roman" w:hAnsi="Times New Roman" w:eastAsia="Arial Unicode MS"/>
                <w:b w:val="0"/>
                <w:bCs w:val="0"/>
              </w:rPr>
            </w:r>
            <w:r>
              <w:rPr>
                <w:rFonts w:ascii="Times New Roman" w:hAnsi="Times New Roman" w:eastAsia="Arial Unicode MS"/>
                <w:b w:val="0"/>
                <w:bCs w:val="0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_______________________________________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pStyle w:val="835"/>
              <w:ind w:left="-14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</w:rPr>
            </w:r>
          </w:p>
          <w:p>
            <w:pPr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r>
              <w:rPr>
                <w:bCs/>
                <w:sz w:val="22"/>
                <w:szCs w:val="22"/>
              </w:rPr>
              <w:t xml:space="preserve">Заявитель</w:t>
            </w:r>
            <w:r/>
          </w:p>
          <w:p>
            <w:pPr>
              <w:ind w:left="-142"/>
              <w:jc w:val="center"/>
            </w:pPr>
            <w:r/>
            <w:r/>
          </w:p>
          <w:p>
            <w:pPr>
              <w:ind w:left="-142"/>
              <w:jc w:val="center"/>
            </w:pPr>
            <w:r>
              <w:rPr>
                <w:sz w:val="22"/>
                <w:szCs w:val="22"/>
              </w:rPr>
              <w:t xml:space="preserve">        ________________/______________                                           </w:t>
            </w:r>
            <w:r/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53" w:type="dxa"/>
            <w:textDirection w:val="lrTb"/>
            <w:noWrap w:val="false"/>
          </w:tcPr>
          <w:p>
            <w:pPr>
              <w:pStyle w:val="830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  <w:t xml:space="preserve">Организатор торгов:</w:t>
            </w:r>
            <w:r>
              <w:rPr>
                <w:rFonts w:ascii="Times New Roman" w:hAnsi="Times New Roman"/>
                <w:b w:val="0"/>
                <w:bCs w:val="0"/>
              </w:rPr>
            </w:r>
            <w:r>
              <w:rPr>
                <w:rFonts w:ascii="Times New Roman" w:hAnsi="Times New Roman"/>
                <w:b w:val="0"/>
                <w:bCs w:val="0"/>
              </w:rPr>
            </w:r>
          </w:p>
          <w:p>
            <w:pPr>
              <w:jc w:val="both"/>
            </w:pPr>
            <w:r>
              <w:rPr>
                <w:sz w:val="22"/>
                <w:szCs w:val="22"/>
              </w:rPr>
              <w:t xml:space="preserve">Финансовый </w:t>
            </w:r>
            <w:r>
              <w:rPr>
                <w:sz w:val="22"/>
                <w:szCs w:val="22"/>
              </w:rPr>
              <w:t xml:space="preserve">управляющий Бекбаевой Ульмикен Роллановны</w:t>
            </w:r>
            <w:r/>
          </w:p>
          <w:p>
            <w:pPr>
              <w:jc w:val="both"/>
            </w:pPr>
            <w:r>
              <w:rPr>
                <w:sz w:val="22"/>
                <w:szCs w:val="22"/>
              </w:rPr>
              <w:t xml:space="preserve">Архипов Константин Олегович</w:t>
            </w:r>
            <w:r/>
          </w:p>
          <w:p>
            <w:pPr>
              <w:jc w:val="both"/>
              <w:rPr>
                <w:color w:val="000000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(</w:t>
            </w:r>
            <w:r>
              <w:rPr>
                <w:sz w:val="22"/>
                <w:szCs w:val="22"/>
                <w:shd w:val="clear" w:color="auto" w:fill="ffffff"/>
              </w:rPr>
              <w:t xml:space="preserve">ИНН </w:t>
            </w:r>
            <w:r>
              <w:rPr>
                <w:sz w:val="22"/>
                <w:szCs w:val="22"/>
                <w:shd w:val="clear" w:color="auto" w:fill="ffffff"/>
              </w:rPr>
              <w:t xml:space="preserve">564101102897</w:t>
            </w:r>
            <w:r>
              <w:rPr>
                <w:sz w:val="22"/>
                <w:szCs w:val="22"/>
                <w:shd w:val="clear" w:color="auto" w:fill="ffffff"/>
              </w:rPr>
              <w:t xml:space="preserve">, СНИЛС </w:t>
            </w:r>
            <w:r>
              <w:rPr>
                <w:sz w:val="22"/>
                <w:szCs w:val="22"/>
                <w:shd w:val="clear" w:color="auto" w:fill="ffffff"/>
              </w:rPr>
              <w:t xml:space="preserve">109-502-421 26</w:t>
            </w:r>
            <w:r>
              <w:rPr>
                <w:sz w:val="22"/>
                <w:szCs w:val="22"/>
                <w:shd w:val="clear" w:color="auto" w:fill="ffffff"/>
              </w:rPr>
              <w:t xml:space="preserve">, </w:t>
            </w:r>
            <w:r>
              <w:rPr>
                <w:color w:val="000000"/>
                <w:sz w:val="22"/>
                <w:szCs w:val="22"/>
              </w:rPr>
              <w:t xml:space="preserve">460000, г. Оренб</w:t>
            </w:r>
            <w:r>
              <w:rPr>
                <w:color w:val="000000"/>
                <w:sz w:val="22"/>
                <w:szCs w:val="22"/>
              </w:rPr>
              <w:t xml:space="preserve">ург, ул. Кирова, д.16</w:t>
            </w:r>
            <w:r>
              <w:rPr>
                <w:color w:val="000000"/>
                <w:sz w:val="22"/>
                <w:szCs w:val="22"/>
              </w:rPr>
              <w:t xml:space="preserve">, а/я 3013</w:t>
            </w:r>
            <w:r>
              <w:rPr>
                <w:sz w:val="22"/>
                <w:szCs w:val="22"/>
                <w:shd w:val="clear" w:color="auto" w:fill="ffffff"/>
              </w:rPr>
              <w:t xml:space="preserve">)</w:t>
            </w:r>
            <w:r>
              <w:rPr>
                <w:sz w:val="22"/>
                <w:szCs w:val="22"/>
              </w:rPr>
              <w:t xml:space="preserve">.</w:t>
            </w:r>
            <w:r>
              <w:rPr>
                <w:color w:val="000000"/>
              </w:rPr>
            </w:r>
            <w:r>
              <w:rPr>
                <w:color w:val="000000"/>
              </w:rPr>
            </w:r>
          </w:p>
          <w:p>
            <w:pPr>
              <w:jc w:val="both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jc w:val="both"/>
              <w:rPr>
                <w:bCs/>
              </w:rPr>
            </w:pPr>
            <w:r>
              <w:rPr>
                <w:bCs/>
              </w:rPr>
            </w:r>
            <w:r>
              <w:rPr>
                <w:bCs/>
              </w:rPr>
            </w:r>
            <w:r>
              <w:rPr>
                <w:bCs/>
              </w:rPr>
            </w:r>
          </w:p>
          <w:p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Финансовый</w:t>
            </w:r>
            <w:r>
              <w:rPr>
                <w:color w:val="000000" w:themeColor="text1"/>
                <w:sz w:val="22"/>
                <w:szCs w:val="22"/>
              </w:rPr>
              <w:t xml:space="preserve"> управляющий</w:t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  <w:r>
              <w:rPr>
                <w:color w:val="000000" w:themeColor="text1"/>
              </w:rPr>
            </w:r>
          </w:p>
          <w:p>
            <w:pPr>
              <w:jc w:val="right"/>
              <w:rPr>
                <w:bCs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______________ </w:t>
            </w:r>
            <w:r>
              <w:rPr>
                <w:color w:val="000000" w:themeColor="text1"/>
                <w:sz w:val="22"/>
                <w:szCs w:val="22"/>
              </w:rPr>
              <w:t xml:space="preserve">Архипов Константин Олегович</w:t>
            </w:r>
            <w:r>
              <w:rPr>
                <w:bCs/>
              </w:rPr>
            </w:r>
            <w:r>
              <w:rPr>
                <w:bCs/>
              </w:rPr>
            </w:r>
          </w:p>
        </w:tc>
      </w:tr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02" w:type="dxa"/>
            <w:textDirection w:val="lrTb"/>
            <w:noWrap w:val="false"/>
          </w:tcPr>
          <w:p>
            <w:pPr>
              <w:pStyle w:val="830"/>
              <w:ind w:left="-142"/>
              <w:jc w:val="center"/>
              <w:rPr>
                <w:rFonts w:ascii="Times New Roman" w:hAnsi="Times New Roman" w:eastAsia="Arial Unicode MS"/>
                <w:b w:val="0"/>
                <w:bCs w:val="0"/>
              </w:rPr>
            </w:pPr>
            <w:r>
              <w:rPr>
                <w:rFonts w:ascii="Times New Roman" w:hAnsi="Times New Roman" w:eastAsia="Arial Unicode MS"/>
                <w:b w:val="0"/>
                <w:bCs w:val="0"/>
              </w:rPr>
            </w:r>
            <w:r>
              <w:rPr>
                <w:rFonts w:ascii="Times New Roman" w:hAnsi="Times New Roman" w:eastAsia="Arial Unicode MS"/>
                <w:b w:val="0"/>
                <w:bCs w:val="0"/>
              </w:rPr>
            </w:r>
            <w:r>
              <w:rPr>
                <w:rFonts w:ascii="Times New Roman" w:hAnsi="Times New Roman" w:eastAsia="Arial Unicode MS"/>
                <w:b w:val="0"/>
                <w:bCs w:val="0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953" w:type="dxa"/>
            <w:textDirection w:val="lrTb"/>
            <w:noWrap w:val="false"/>
          </w:tcPr>
          <w:p>
            <w:pPr>
              <w:pStyle w:val="830"/>
              <w:ind w:left="-142"/>
              <w:jc w:val="center"/>
              <w:rPr>
                <w:rFonts w:ascii="Times New Roman" w:hAnsi="Times New Roman"/>
                <w:b w:val="0"/>
                <w:bCs w:val="0"/>
              </w:rPr>
            </w:pPr>
            <w:r>
              <w:rPr>
                <w:rFonts w:ascii="Times New Roman" w:hAnsi="Times New Roman"/>
                <w:b w:val="0"/>
                <w:bCs w:val="0"/>
              </w:rPr>
            </w:r>
            <w:r>
              <w:rPr>
                <w:rFonts w:ascii="Times New Roman" w:hAnsi="Times New Roman"/>
                <w:b w:val="0"/>
                <w:bCs w:val="0"/>
              </w:rPr>
            </w:r>
            <w:r>
              <w:rPr>
                <w:rFonts w:ascii="Times New Roman" w:hAnsi="Times New Roman"/>
                <w:b w:val="0"/>
                <w:bCs w:val="0"/>
              </w:rPr>
            </w:r>
          </w:p>
        </w:tc>
      </w:tr>
    </w:tbl>
    <w:p>
      <w:pPr>
        <w:ind w:left="-142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w="11906" w:h="16838" w:orient="portrait"/>
      <w:pgMar w:top="426" w:right="850" w:bottom="567" w:left="1276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1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1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1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1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1"/>
    <w:link w:val="662"/>
    <w:uiPriority w:val="9"/>
    <w:rPr>
      <w:rFonts w:ascii="Arial" w:hAnsi="Arial" w:eastAsia="Arial" w:cs="Arial"/>
      <w:b/>
      <w:bCs/>
      <w:sz w:val="24"/>
      <w:szCs w:val="24"/>
    </w:rPr>
  </w:style>
  <w:style w:type="character" w:styleId="664">
    <w:name w:val="Heading 6 Char"/>
    <w:basedOn w:val="831"/>
    <w:link w:val="830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29"/>
    <w:next w:val="829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1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29"/>
    <w:next w:val="829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1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29"/>
    <w:next w:val="829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1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29"/>
    <w:uiPriority w:val="34"/>
    <w:qFormat/>
    <w:pPr>
      <w:contextualSpacing/>
      <w:ind w:left="720"/>
    </w:pPr>
  </w:style>
  <w:style w:type="paragraph" w:styleId="672">
    <w:name w:val="Title"/>
    <w:basedOn w:val="829"/>
    <w:next w:val="829"/>
    <w:link w:val="67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3">
    <w:name w:val="Title Char"/>
    <w:basedOn w:val="831"/>
    <w:link w:val="672"/>
    <w:uiPriority w:val="10"/>
    <w:rPr>
      <w:sz w:val="48"/>
      <w:szCs w:val="48"/>
    </w:rPr>
  </w:style>
  <w:style w:type="paragraph" w:styleId="674">
    <w:name w:val="Subtitle"/>
    <w:basedOn w:val="829"/>
    <w:next w:val="829"/>
    <w:link w:val="675"/>
    <w:uiPriority w:val="11"/>
    <w:qFormat/>
    <w:pPr>
      <w:spacing w:before="200" w:after="200"/>
    </w:pPr>
    <w:rPr>
      <w:sz w:val="24"/>
      <w:szCs w:val="24"/>
    </w:rPr>
  </w:style>
  <w:style w:type="character" w:styleId="675">
    <w:name w:val="Subtitle Char"/>
    <w:basedOn w:val="831"/>
    <w:link w:val="674"/>
    <w:uiPriority w:val="11"/>
    <w:rPr>
      <w:sz w:val="24"/>
      <w:szCs w:val="24"/>
    </w:rPr>
  </w:style>
  <w:style w:type="paragraph" w:styleId="676">
    <w:name w:val="Quote"/>
    <w:basedOn w:val="829"/>
    <w:next w:val="829"/>
    <w:link w:val="677"/>
    <w:uiPriority w:val="29"/>
    <w:qFormat/>
    <w:pPr>
      <w:ind w:left="720" w:right="720"/>
    </w:pPr>
    <w:rPr>
      <w:i/>
    </w:r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9"/>
    <w:next w:val="829"/>
    <w:link w:val="67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9">
    <w:name w:val="Intense Quote Char"/>
    <w:link w:val="678"/>
    <w:uiPriority w:val="30"/>
    <w:rPr>
      <w:i/>
    </w:rPr>
  </w:style>
  <w:style w:type="paragraph" w:styleId="680">
    <w:name w:val="Header"/>
    <w:basedOn w:val="829"/>
    <w:link w:val="68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1">
    <w:name w:val="Header Char"/>
    <w:basedOn w:val="831"/>
    <w:link w:val="680"/>
    <w:uiPriority w:val="99"/>
  </w:style>
  <w:style w:type="paragraph" w:styleId="682">
    <w:name w:val="Footer"/>
    <w:basedOn w:val="829"/>
    <w:link w:val="68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Footer Char"/>
    <w:basedOn w:val="831"/>
    <w:link w:val="682"/>
    <w:uiPriority w:val="99"/>
  </w:style>
  <w:style w:type="paragraph" w:styleId="684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5">
    <w:name w:val="Caption Char"/>
    <w:basedOn w:val="684"/>
    <w:link w:val="682"/>
    <w:uiPriority w:val="99"/>
  </w:style>
  <w:style w:type="table" w:styleId="686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7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6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7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8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9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0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1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3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4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5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6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7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798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0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1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2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3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4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5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1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1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30">
    <w:name w:val="Heading 6"/>
    <w:basedOn w:val="829"/>
    <w:next w:val="829"/>
    <w:link w:val="834"/>
    <w:uiPriority w:val="9"/>
    <w:semiHidden/>
    <w:unhideWhenUsed/>
    <w:qFormat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styleId="831" w:default="1">
    <w:name w:val="Default Paragraph Font"/>
    <w:uiPriority w:val="1"/>
    <w:semiHidden/>
    <w:unhideWhenUsed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character" w:styleId="834" w:customStyle="1">
    <w:name w:val="Заголовок 6 Знак"/>
    <w:basedOn w:val="831"/>
    <w:link w:val="830"/>
    <w:uiPriority w:val="9"/>
    <w:semiHidden/>
    <w:rPr>
      <w:rFonts w:ascii="Calibri" w:hAnsi="Calibri" w:eastAsia="Times New Roman" w:cs="Times New Roman"/>
      <w:b/>
      <w:bCs/>
      <w:lang w:eastAsia="ru-RU"/>
    </w:rPr>
  </w:style>
  <w:style w:type="paragraph" w:styleId="835">
    <w:name w:val="No Spacing"/>
    <w:link w:val="838"/>
    <w:uiPriority w:val="1"/>
    <w:qFormat/>
    <w:pPr>
      <w:spacing w:after="0" w:line="240" w:lineRule="auto"/>
    </w:pPr>
    <w:rPr>
      <w:rFonts w:ascii="Calibri" w:hAnsi="Calibri" w:eastAsia="Calibri" w:cs="Times New Roman"/>
    </w:rPr>
  </w:style>
  <w:style w:type="character" w:styleId="836" w:customStyle="1">
    <w:name w:val="paragraph"/>
    <w:basedOn w:val="831"/>
  </w:style>
  <w:style w:type="paragraph" w:styleId="837" w:customStyle="1">
    <w:name w:val="ConsNormal"/>
    <w:pPr>
      <w:ind w:right="19772"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character" w:styleId="838" w:customStyle="1">
    <w:name w:val="Без интервала Знак"/>
    <w:basedOn w:val="831"/>
    <w:link w:val="835"/>
    <w:uiPriority w:val="1"/>
    <w:rPr>
      <w:rFonts w:ascii="Calibri" w:hAnsi="Calibri" w:eastAsia="Calibri" w:cs="Times New Roman"/>
    </w:rPr>
  </w:style>
  <w:style w:type="paragraph" w:styleId="839">
    <w:name w:val="Plain Text"/>
    <w:basedOn w:val="829"/>
    <w:link w:val="840"/>
    <w:pPr>
      <w:ind w:firstLine="709"/>
      <w:jc w:val="both"/>
    </w:pPr>
    <w:rPr>
      <w:szCs w:val="20"/>
    </w:rPr>
  </w:style>
  <w:style w:type="character" w:styleId="840" w:customStyle="1">
    <w:name w:val="Текст Знак"/>
    <w:basedOn w:val="831"/>
    <w:link w:val="839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841" w:customStyle="1">
    <w:name w:val="Font Style13"/>
    <w:basedOn w:val="831"/>
    <w:uiPriority w:val="99"/>
    <w:rPr>
      <w:rFonts w:ascii="Times New Roman" w:hAnsi="Times New Roman" w:cs="Times New Roman"/>
      <w:sz w:val="18"/>
      <w:szCs w:val="18"/>
    </w:rPr>
  </w:style>
  <w:style w:type="character" w:styleId="842">
    <w:name w:val="Hyperlink"/>
    <w:basedOn w:val="831"/>
    <w:uiPriority w:val="99"/>
    <w:unhideWhenUsed/>
    <w:rPr>
      <w:color w:val="0000ff"/>
      <w:u w:val="single"/>
    </w:rPr>
  </w:style>
  <w:style w:type="paragraph" w:styleId="843">
    <w:name w:val="Normal (Web)"/>
    <w:basedOn w:val="829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0D424-EFAB-4AD9-AF29-FDAA6716A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revision>14</cp:revision>
  <dcterms:created xsi:type="dcterms:W3CDTF">2020-02-12T07:00:00Z</dcterms:created>
  <dcterms:modified xsi:type="dcterms:W3CDTF">2025-01-24T07:48:45Z</dcterms:modified>
</cp:coreProperties>
</file>