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057B6A">
      <w:pPr>
        <w:pStyle w:val="31"/>
        <w:jc w:val="center"/>
        <w:rPr>
          <w:sz w:val="24"/>
          <w:szCs w:val="24"/>
        </w:rPr>
      </w:pPr>
      <w:bookmarkStart w:id="0" w:name="_docStart_1"/>
      <w:bookmarkEnd w:id="0"/>
      <w:bookmarkStart w:id="1" w:name="_ref_1-53a43eb5a2024a"/>
      <w:bookmarkStart w:id="2" w:name="_title_1"/>
      <w:r>
        <w:rPr>
          <w:sz w:val="24"/>
          <w:szCs w:val="24"/>
        </w:rPr>
        <w:t>Договор купли-продажи</w:t>
      </w:r>
      <w:bookmarkEnd w:id="1"/>
      <w:bookmarkEnd w:id="2"/>
      <w:r>
        <w:rPr>
          <w:sz w:val="24"/>
          <w:szCs w:val="24"/>
        </w:rPr>
        <w:t>.</w:t>
      </w:r>
    </w:p>
    <w:p w14:paraId="55EEE867">
      <w:pPr>
        <w:pStyle w:val="31"/>
        <w:jc w:val="both"/>
        <w:rPr>
          <w:sz w:val="24"/>
          <w:szCs w:val="24"/>
        </w:rPr>
      </w:pPr>
    </w:p>
    <w:p w14:paraId="6551C323">
      <w:pPr>
        <w:pStyle w:val="3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г. Пенза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«____» _____________ 20</w:t>
      </w:r>
      <w:r>
        <w:rPr>
          <w:rFonts w:hint="default"/>
          <w:bCs/>
          <w:sz w:val="24"/>
          <w:szCs w:val="24"/>
          <w:lang w:val="ru-RU"/>
        </w:rPr>
        <w:t xml:space="preserve">2  </w:t>
      </w:r>
      <w:r>
        <w:rPr>
          <w:bCs/>
          <w:sz w:val="24"/>
          <w:szCs w:val="24"/>
        </w:rPr>
        <w:t xml:space="preserve"> г.</w:t>
      </w:r>
    </w:p>
    <w:p w14:paraId="5CE26C49">
      <w:pPr>
        <w:pStyle w:val="31"/>
        <w:jc w:val="both"/>
        <w:rPr>
          <w:bCs/>
          <w:sz w:val="24"/>
          <w:szCs w:val="24"/>
        </w:rPr>
      </w:pPr>
    </w:p>
    <w:p w14:paraId="12BB602E">
      <w:pPr>
        <w:pStyle w:val="31"/>
        <w:ind w:firstLine="708"/>
        <w:jc w:val="both"/>
        <w:rPr>
          <w:bCs/>
          <w:sz w:val="24"/>
          <w:szCs w:val="24"/>
        </w:rPr>
      </w:pPr>
      <w:r>
        <w:rPr>
          <w:sz w:val="24"/>
          <w:szCs w:val="24"/>
        </w:rPr>
        <w:t>Конкурсный управляющ</w:t>
      </w:r>
      <w:bookmarkStart w:id="31" w:name="_GoBack"/>
      <w:bookmarkEnd w:id="31"/>
      <w:r>
        <w:rPr>
          <w:sz w:val="24"/>
          <w:szCs w:val="24"/>
        </w:rPr>
        <w:t xml:space="preserve">ий </w:t>
      </w:r>
      <w:r>
        <w:rPr>
          <w:rFonts w:hint="default" w:ascii="Times New Roman" w:hAnsi="Times New Roman"/>
          <w:sz w:val="24"/>
          <w:szCs w:val="24"/>
          <w:lang w:val="ru-RU"/>
        </w:rPr>
        <w:t>ООО ТД «МЕДВЕДЬ»</w:t>
      </w:r>
      <w:r>
        <w:rPr>
          <w:rFonts w:ascii="Times New Roman" w:hAnsi="Times New Roman"/>
          <w:sz w:val="24"/>
          <w:szCs w:val="24"/>
        </w:rPr>
        <w:t xml:space="preserve"> (ОГРН </w:t>
      </w:r>
      <w:r>
        <w:rPr>
          <w:rStyle w:val="35"/>
          <w:rFonts w:hint="default" w:ascii="Times New Roman" w:hAnsi="Times New Roman" w:cs="Times New Roman"/>
          <w:b w:val="0"/>
          <w:bCs w:val="0"/>
          <w:sz w:val="24"/>
          <w:szCs w:val="24"/>
          <w:u w:val="none"/>
        </w:rPr>
        <w:t>1155040004063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</w:rPr>
        <w:t xml:space="preserve">, ИНН </w:t>
      </w:r>
      <w:r>
        <w:rPr>
          <w:rStyle w:val="35"/>
          <w:rFonts w:hint="default" w:ascii="Times New Roman" w:hAnsi="Times New Roman" w:cs="Times New Roman"/>
          <w:b w:val="0"/>
          <w:bCs w:val="0"/>
          <w:sz w:val="24"/>
          <w:szCs w:val="24"/>
          <w:u w:val="none"/>
        </w:rPr>
        <w:t>5040119717</w:t>
      </w:r>
      <w:r>
        <w:rPr>
          <w:rFonts w:ascii="Times New Roman" w:hAnsi="Times New Roman"/>
          <w:sz w:val="24"/>
          <w:szCs w:val="24"/>
        </w:rPr>
        <w:t>) Кадеров</w:t>
      </w:r>
      <w:r>
        <w:rPr>
          <w:rFonts w:ascii="Times New Roman" w:hAnsi="Times New Roman"/>
          <w:sz w:val="24"/>
          <w:szCs w:val="24"/>
          <w:lang w:val="ru-RU"/>
        </w:rPr>
        <w:t>а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Гульнара Исхаковна</w:t>
      </w:r>
      <w:r>
        <w:rPr>
          <w:sz w:val="24"/>
          <w:szCs w:val="24"/>
        </w:rPr>
        <w:t>, именуем</w:t>
      </w:r>
      <w:r>
        <w:rPr>
          <w:sz w:val="24"/>
          <w:szCs w:val="24"/>
          <w:lang w:val="ru-RU"/>
        </w:rPr>
        <w:t>ая</w:t>
      </w:r>
      <w:r>
        <w:rPr>
          <w:sz w:val="24"/>
          <w:szCs w:val="24"/>
        </w:rPr>
        <w:t xml:space="preserve"> в дальнейшем «Организатор торгов», действующ</w:t>
      </w:r>
      <w:r>
        <w:rPr>
          <w:sz w:val="24"/>
          <w:szCs w:val="24"/>
          <w:lang w:val="ru-RU"/>
        </w:rPr>
        <w:t>ая</w:t>
      </w:r>
      <w:r>
        <w:rPr>
          <w:sz w:val="24"/>
          <w:szCs w:val="24"/>
        </w:rPr>
        <w:t xml:space="preserve"> на основании Решения </w:t>
      </w:r>
      <w:r>
        <w:rPr>
          <w:rFonts w:ascii="Times New Roman" w:hAnsi="Times New Roman"/>
          <w:sz w:val="24"/>
          <w:szCs w:val="24"/>
        </w:rPr>
        <w:t xml:space="preserve">Арбитражного суда </w:t>
      </w:r>
      <w:r>
        <w:rPr>
          <w:rFonts w:ascii="Times New Roman" w:hAnsi="Times New Roman"/>
          <w:sz w:val="24"/>
          <w:szCs w:val="24"/>
          <w:lang w:val="ru-RU"/>
        </w:rPr>
        <w:t>Московской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области</w:t>
      </w:r>
      <w:r>
        <w:rPr>
          <w:rFonts w:ascii="Times New Roman" w:hAnsi="Times New Roman"/>
          <w:sz w:val="24"/>
          <w:szCs w:val="24"/>
        </w:rPr>
        <w:t xml:space="preserve"> от </w:t>
      </w:r>
      <w:r>
        <w:rPr>
          <w:rFonts w:hint="default" w:ascii="Times New Roman" w:hAnsi="Times New Roman"/>
          <w:sz w:val="24"/>
          <w:szCs w:val="24"/>
          <w:lang w:val="ru-RU"/>
        </w:rPr>
        <w:t>31</w:t>
      </w:r>
      <w:r>
        <w:rPr>
          <w:rFonts w:ascii="Times New Roman" w:hAnsi="Times New Roman"/>
          <w:sz w:val="24"/>
          <w:szCs w:val="24"/>
        </w:rPr>
        <w:t>.0</w:t>
      </w:r>
      <w:r>
        <w:rPr>
          <w:rFonts w:hint="default" w:ascii="Times New Roman" w:hAnsi="Times New Roman"/>
          <w:sz w:val="24"/>
          <w:szCs w:val="24"/>
          <w:lang w:val="ru-RU"/>
        </w:rPr>
        <w:t>7</w:t>
      </w:r>
      <w:r>
        <w:rPr>
          <w:rFonts w:ascii="Times New Roman" w:hAnsi="Times New Roman"/>
          <w:sz w:val="24"/>
          <w:szCs w:val="24"/>
        </w:rPr>
        <w:t>.202</w:t>
      </w:r>
      <w:r>
        <w:rPr>
          <w:rFonts w:hint="default" w:ascii="Times New Roman" w:hAnsi="Times New Roman"/>
          <w:sz w:val="24"/>
          <w:szCs w:val="24"/>
          <w:lang w:val="ru-RU"/>
        </w:rPr>
        <w:t>4 (дата оглашения резолютивной части)</w:t>
      </w:r>
      <w:r>
        <w:rPr>
          <w:rFonts w:ascii="Times New Roman" w:hAnsi="Times New Roman"/>
          <w:sz w:val="24"/>
          <w:szCs w:val="24"/>
        </w:rPr>
        <w:t xml:space="preserve"> по делу А</w:t>
      </w:r>
      <w:r>
        <w:rPr>
          <w:rFonts w:hint="default" w:ascii="Times New Roman" w:hAnsi="Times New Roman"/>
          <w:sz w:val="24"/>
          <w:szCs w:val="24"/>
          <w:lang w:val="ru-RU"/>
        </w:rPr>
        <w:t>41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hint="default" w:ascii="Times New Roman" w:hAnsi="Times New Roman"/>
          <w:sz w:val="24"/>
          <w:szCs w:val="24"/>
          <w:lang w:val="ru-RU"/>
        </w:rPr>
        <w:t>98359</w:t>
      </w:r>
      <w:r>
        <w:rPr>
          <w:rFonts w:ascii="Times New Roman" w:hAnsi="Times New Roman"/>
          <w:sz w:val="24"/>
          <w:szCs w:val="24"/>
        </w:rPr>
        <w:t>/202</w:t>
      </w:r>
      <w:r>
        <w:rPr>
          <w:rFonts w:hint="default" w:ascii="Times New Roman" w:hAnsi="Times New Roman"/>
          <w:sz w:val="24"/>
          <w:szCs w:val="24"/>
          <w:lang w:val="ru-RU"/>
        </w:rPr>
        <w:t>3</w:t>
      </w:r>
      <w:r>
        <w:rPr>
          <w:bCs/>
          <w:color w:val="202124"/>
          <w:sz w:val="24"/>
          <w:szCs w:val="24"/>
        </w:rPr>
        <w:t xml:space="preserve">, </w:t>
      </w:r>
      <w:r>
        <w:rPr>
          <w:bCs/>
          <w:sz w:val="24"/>
          <w:szCs w:val="24"/>
        </w:rPr>
        <w:t>именуем</w:t>
      </w:r>
      <w:r>
        <w:rPr>
          <w:bCs/>
          <w:sz w:val="24"/>
          <w:szCs w:val="24"/>
          <w:lang w:val="ru-RU"/>
        </w:rPr>
        <w:t>ая</w:t>
      </w:r>
      <w:r>
        <w:rPr>
          <w:bCs/>
          <w:sz w:val="24"/>
          <w:szCs w:val="24"/>
        </w:rPr>
        <w:t xml:space="preserve"> в дальнейшем «Продавец», с одной стороны, и __________________________________,  в лице ___________________________________,  действующего на основании _____________, именуемое в дальнейшем «Покупатель», с другой стороны, </w:t>
      </w:r>
    </w:p>
    <w:p w14:paraId="72DC5B36">
      <w:pPr>
        <w:pStyle w:val="31"/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заключили настоящий договор о нижеследующем:</w:t>
      </w:r>
    </w:p>
    <w:p w14:paraId="587155B1">
      <w:pPr>
        <w:pStyle w:val="31"/>
        <w:jc w:val="both"/>
        <w:rPr>
          <w:bCs/>
          <w:sz w:val="24"/>
          <w:szCs w:val="24"/>
        </w:rPr>
      </w:pPr>
    </w:p>
    <w:p w14:paraId="518B5AE1">
      <w:pPr>
        <w:pStyle w:val="31"/>
        <w:numPr>
          <w:ilvl w:val="0"/>
          <w:numId w:val="2"/>
        </w:numPr>
        <w:jc w:val="center"/>
        <w:rPr>
          <w:bCs/>
          <w:sz w:val="24"/>
          <w:szCs w:val="24"/>
        </w:rPr>
      </w:pPr>
      <w:bookmarkStart w:id="3" w:name="_ref_1-80051dff3c044a"/>
      <w:r>
        <w:rPr>
          <w:bCs/>
          <w:sz w:val="24"/>
          <w:szCs w:val="24"/>
        </w:rPr>
        <w:t>Предмет договора</w:t>
      </w:r>
      <w:bookmarkEnd w:id="3"/>
      <w:r>
        <w:rPr>
          <w:sz w:val="24"/>
          <w:szCs w:val="24"/>
        </w:rPr>
        <w:t>.</w:t>
      </w:r>
    </w:p>
    <w:p w14:paraId="128030B3">
      <w:pPr>
        <w:pStyle w:val="31"/>
        <w:numPr>
          <w:ilvl w:val="1"/>
          <w:numId w:val="2"/>
        </w:numPr>
        <w:jc w:val="both"/>
        <w:rPr>
          <w:sz w:val="24"/>
          <w:szCs w:val="24"/>
        </w:rPr>
      </w:pPr>
      <w:bookmarkStart w:id="4" w:name="_ref_1-48e05ad471504d"/>
      <w:r>
        <w:rPr>
          <w:bCs/>
          <w:sz w:val="24"/>
          <w:szCs w:val="24"/>
        </w:rPr>
        <w:t xml:space="preserve">Продавец обязуется передать в собственность Покупателя, а Покупатель обязуется принять и оплатить </w:t>
      </w:r>
      <w:bookmarkEnd w:id="4"/>
      <w:r>
        <w:rPr>
          <w:bCs/>
          <w:sz w:val="24"/>
          <w:szCs w:val="24"/>
        </w:rPr>
        <w:t xml:space="preserve">следующее имущество, составляющее </w:t>
      </w:r>
      <w:r>
        <w:rPr>
          <w:bCs/>
          <w:sz w:val="24"/>
          <w:szCs w:val="24"/>
          <w:lang w:val="ru-RU"/>
        </w:rPr>
        <w:t>Л</w:t>
      </w:r>
      <w:r>
        <w:rPr>
          <w:sz w:val="24"/>
          <w:szCs w:val="24"/>
        </w:rPr>
        <w:t>от</w:t>
      </w:r>
      <w:r>
        <w:rPr>
          <w:bCs/>
          <w:sz w:val="24"/>
          <w:szCs w:val="24"/>
        </w:rPr>
        <w:t xml:space="preserve"> №</w:t>
      </w:r>
      <w:r>
        <w:rPr>
          <w:rFonts w:hint="default"/>
          <w:bCs/>
          <w:sz w:val="24"/>
          <w:szCs w:val="24"/>
          <w:lang w:val="ru-RU"/>
        </w:rPr>
        <w:t xml:space="preserve">   </w:t>
      </w:r>
      <w:r>
        <w:rPr>
          <w:sz w:val="24"/>
          <w:szCs w:val="24"/>
        </w:rPr>
        <w:t>:</w:t>
      </w:r>
      <w:bookmarkStart w:id="5" w:name="_ref_1-0306e5e33ac141"/>
    </w:p>
    <w:p w14:paraId="4B6946E8">
      <w:pPr>
        <w:pStyle w:val="31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</w:p>
    <w:bookmarkEnd w:id="5"/>
    <w:p w14:paraId="15D9A82B">
      <w:pPr>
        <w:pStyle w:val="31"/>
        <w:numPr>
          <w:ilvl w:val="1"/>
          <w:numId w:val="2"/>
        </w:numPr>
        <w:jc w:val="both"/>
        <w:rPr>
          <w:sz w:val="24"/>
          <w:szCs w:val="24"/>
        </w:rPr>
      </w:pPr>
      <w:r>
        <w:rPr>
          <w:bCs/>
          <w:sz w:val="24"/>
          <w:szCs w:val="24"/>
        </w:rPr>
        <w:t>Имущество продается на основании ФЗ «О несостоятельности (банкротстве)» № 127-ФЗ от 26 октября 2002 года.</w:t>
      </w:r>
    </w:p>
    <w:p w14:paraId="328F2920">
      <w:pPr>
        <w:pStyle w:val="31"/>
        <w:numPr>
          <w:ilvl w:val="1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Проведении торгов в форме аукциона открытого по составу участников и по форме представления предложений о цене имущества, в сети интернет на ЭТП - </w:t>
      </w:r>
      <w:r>
        <w:fldChar w:fldCharType="begin"/>
      </w:r>
      <w:r>
        <w:instrText xml:space="preserve"> HYPERLINK "http://nistp.ru/" \t "_blank" </w:instrText>
      </w:r>
      <w:r>
        <w:fldChar w:fldCharType="separate"/>
      </w:r>
      <w:r>
        <w:rPr>
          <w:rStyle w:val="13"/>
          <w:bCs/>
          <w:color w:val="auto"/>
          <w:sz w:val="24"/>
          <w:szCs w:val="24"/>
          <w:u w:val="none"/>
        </w:rPr>
        <w:t>nistp.ru</w:t>
      </w:r>
      <w:r>
        <w:rPr>
          <w:rStyle w:val="13"/>
          <w:bCs/>
          <w:color w:val="auto"/>
          <w:sz w:val="24"/>
          <w:szCs w:val="24"/>
          <w:u w:val="none"/>
        </w:rPr>
        <w:fldChar w:fldCharType="end"/>
      </w:r>
      <w:r>
        <w:rPr>
          <w:bCs/>
          <w:sz w:val="24"/>
          <w:szCs w:val="24"/>
        </w:rPr>
        <w:t xml:space="preserve"> (Итоговый протокол заседания комиссии по проведению торговой процедуры № __________).</w:t>
      </w:r>
    </w:p>
    <w:p w14:paraId="7E605CD9">
      <w:pPr>
        <w:pStyle w:val="31"/>
        <w:jc w:val="both"/>
        <w:rPr>
          <w:bCs/>
          <w:sz w:val="24"/>
          <w:szCs w:val="24"/>
        </w:rPr>
      </w:pPr>
    </w:p>
    <w:p w14:paraId="78E89282">
      <w:pPr>
        <w:pStyle w:val="31"/>
        <w:numPr>
          <w:ilvl w:val="0"/>
          <w:numId w:val="2"/>
        </w:numPr>
        <w:jc w:val="center"/>
        <w:rPr>
          <w:bCs/>
          <w:sz w:val="24"/>
          <w:szCs w:val="24"/>
        </w:rPr>
      </w:pPr>
      <w:bookmarkStart w:id="6" w:name="_ref_1-8a4c3e63419840"/>
      <w:r>
        <w:rPr>
          <w:bCs/>
          <w:sz w:val="24"/>
          <w:szCs w:val="24"/>
        </w:rPr>
        <w:t>Цена и порядок оплаты</w:t>
      </w:r>
      <w:bookmarkEnd w:id="6"/>
      <w:r>
        <w:rPr>
          <w:sz w:val="24"/>
          <w:szCs w:val="24"/>
        </w:rPr>
        <w:t>.</w:t>
      </w:r>
    </w:p>
    <w:p w14:paraId="062B458B">
      <w:pPr>
        <w:pStyle w:val="31"/>
        <w:numPr>
          <w:ilvl w:val="1"/>
          <w:numId w:val="2"/>
        </w:numPr>
        <w:jc w:val="both"/>
        <w:rPr>
          <w:sz w:val="24"/>
          <w:szCs w:val="24"/>
        </w:rPr>
      </w:pPr>
      <w:bookmarkStart w:id="7" w:name="_ref_1-a5c7d5b2418849"/>
      <w:r>
        <w:rPr>
          <w:bCs/>
          <w:sz w:val="24"/>
          <w:szCs w:val="24"/>
        </w:rPr>
        <w:t>Общая стоимость Имущества составляет _____________ (_________________) рубля.</w:t>
      </w:r>
    </w:p>
    <w:p w14:paraId="01888E11">
      <w:pPr>
        <w:pStyle w:val="31"/>
        <w:numPr>
          <w:ilvl w:val="1"/>
          <w:numId w:val="2"/>
        </w:numPr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Задаток в сумме __________________ руб. перечисленный Покупателем по платежному поручению №__ от _______ года, засчитывается в счет оплаты </w:t>
      </w:r>
      <w:r>
        <w:rPr>
          <w:sz w:val="24"/>
          <w:szCs w:val="24"/>
        </w:rPr>
        <w:t>и</w:t>
      </w:r>
      <w:r>
        <w:rPr>
          <w:bCs/>
          <w:sz w:val="24"/>
          <w:szCs w:val="24"/>
        </w:rPr>
        <w:t>мущества.</w:t>
      </w:r>
    </w:p>
    <w:p w14:paraId="5ED6BB13">
      <w:pPr>
        <w:pStyle w:val="31"/>
        <w:numPr>
          <w:ilvl w:val="1"/>
          <w:numId w:val="2"/>
        </w:numPr>
        <w:jc w:val="both"/>
        <w:rPr>
          <w:sz w:val="24"/>
          <w:szCs w:val="24"/>
        </w:rPr>
      </w:pPr>
      <w:r>
        <w:rPr>
          <w:bCs/>
          <w:sz w:val="24"/>
          <w:szCs w:val="24"/>
        </w:rPr>
        <w:t>За вычетом суммы задатка Покупатель должен уплатить ___________ (____________________рублей в счет оплаты за приобретаемое имущество.</w:t>
      </w:r>
    </w:p>
    <w:p w14:paraId="681C9775">
      <w:pPr>
        <w:pStyle w:val="31"/>
        <w:numPr>
          <w:ilvl w:val="1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Оплата производится на расчетный счет </w:t>
      </w:r>
      <w:r>
        <w:rPr>
          <w:bCs/>
          <w:sz w:val="24"/>
          <w:szCs w:val="24"/>
          <w:lang w:val="ru-RU"/>
        </w:rPr>
        <w:t>ООО</w:t>
      </w:r>
      <w:r>
        <w:rPr>
          <w:rFonts w:hint="default"/>
          <w:bCs/>
          <w:sz w:val="24"/>
          <w:szCs w:val="24"/>
          <w:lang w:val="ru-RU"/>
        </w:rPr>
        <w:t xml:space="preserve"> ТД «МЕДВЕДЬ»</w:t>
      </w:r>
      <w:r>
        <w:rPr>
          <w:bCs/>
          <w:spacing w:val="5"/>
          <w:sz w:val="24"/>
          <w:szCs w:val="24"/>
        </w:rPr>
        <w:t>,</w:t>
      </w:r>
      <w:r>
        <w:rPr>
          <w:rFonts w:hint="default"/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</w:rPr>
        <w:t>р/с 40702810912010663319, ПАО "Совкомбанк", БИК 044525360, ИНН Банка 4401116480, кор/счет 30101810445250000360</w:t>
      </w:r>
      <w:r>
        <w:rPr>
          <w:rFonts w:hint="default"/>
          <w:bCs/>
          <w:sz w:val="24"/>
          <w:szCs w:val="24"/>
          <w:lang w:val="ru-RU"/>
        </w:rPr>
        <w:t>,</w:t>
      </w:r>
      <w:r>
        <w:rPr>
          <w:bCs/>
          <w:sz w:val="24"/>
          <w:szCs w:val="24"/>
        </w:rPr>
        <w:t xml:space="preserve"> не позднее 30 дней с момента подписания настоящего договора. Все платежи по данному договору осуществляются в рублях РФ. </w:t>
      </w:r>
      <w:bookmarkEnd w:id="7"/>
      <w:r>
        <w:rPr>
          <w:bCs/>
          <w:sz w:val="24"/>
          <w:szCs w:val="24"/>
        </w:rPr>
        <w:t xml:space="preserve">Датой платежа считается дата поступления денежных средств на расчетный счет должника. Обязательства по оплате имущества Покупателем считаются исполненными с даты зачисления денежных средств на счет должника. </w:t>
      </w:r>
    </w:p>
    <w:p w14:paraId="4F3B9DE2">
      <w:pPr>
        <w:pStyle w:val="31"/>
        <w:jc w:val="both"/>
        <w:rPr>
          <w:sz w:val="24"/>
          <w:szCs w:val="24"/>
        </w:rPr>
      </w:pPr>
    </w:p>
    <w:p w14:paraId="680B4EDE">
      <w:pPr>
        <w:pStyle w:val="31"/>
        <w:numPr>
          <w:ilvl w:val="0"/>
          <w:numId w:val="2"/>
        </w:numPr>
        <w:jc w:val="center"/>
        <w:rPr>
          <w:bCs/>
          <w:sz w:val="24"/>
          <w:szCs w:val="24"/>
        </w:rPr>
      </w:pPr>
      <w:bookmarkStart w:id="8" w:name="_ref_1-8235d9f04c7743"/>
      <w:r>
        <w:rPr>
          <w:bCs/>
          <w:sz w:val="24"/>
          <w:szCs w:val="24"/>
        </w:rPr>
        <w:t>Передача недвижимого</w:t>
      </w:r>
      <w:r>
        <w:rPr>
          <w:rFonts w:hint="default"/>
          <w:bCs/>
          <w:sz w:val="24"/>
          <w:szCs w:val="24"/>
          <w:lang w:val="ru-RU"/>
        </w:rPr>
        <w:t xml:space="preserve"> (движимого)</w:t>
      </w:r>
      <w:r>
        <w:rPr>
          <w:bCs/>
          <w:sz w:val="24"/>
          <w:szCs w:val="24"/>
        </w:rPr>
        <w:t xml:space="preserve"> имущества</w:t>
      </w:r>
      <w:bookmarkEnd w:id="8"/>
      <w:r>
        <w:rPr>
          <w:sz w:val="24"/>
          <w:szCs w:val="24"/>
        </w:rPr>
        <w:t>.</w:t>
      </w:r>
    </w:p>
    <w:p w14:paraId="44651EE5">
      <w:pPr>
        <w:pStyle w:val="31"/>
        <w:numPr>
          <w:ilvl w:val="1"/>
          <w:numId w:val="2"/>
        </w:numPr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До подписания настоящего </w:t>
      </w:r>
      <w:r>
        <w:rPr>
          <w:sz w:val="24"/>
          <w:szCs w:val="24"/>
        </w:rPr>
        <w:t>д</w:t>
      </w:r>
      <w:r>
        <w:rPr>
          <w:bCs/>
          <w:sz w:val="24"/>
          <w:szCs w:val="24"/>
        </w:rPr>
        <w:t xml:space="preserve">оговора Покупатель произвел осмотр </w:t>
      </w:r>
      <w:r>
        <w:rPr>
          <w:sz w:val="24"/>
          <w:szCs w:val="24"/>
        </w:rPr>
        <w:t>и</w:t>
      </w:r>
      <w:r>
        <w:rPr>
          <w:bCs/>
          <w:sz w:val="24"/>
          <w:szCs w:val="24"/>
        </w:rPr>
        <w:t>мущества, проверил его качество и подтверждает, что имущество пригодно для целей, для которых оно обычно используется</w:t>
      </w:r>
      <w:bookmarkStart w:id="9" w:name="_ref_1-1c1502d64c6a45"/>
      <w:r>
        <w:rPr>
          <w:sz w:val="24"/>
          <w:szCs w:val="24"/>
        </w:rPr>
        <w:t>.</w:t>
      </w:r>
    </w:p>
    <w:p w14:paraId="0D9A8DB3">
      <w:pPr>
        <w:pStyle w:val="31"/>
        <w:numPr>
          <w:ilvl w:val="1"/>
          <w:numId w:val="2"/>
        </w:numPr>
        <w:jc w:val="both"/>
        <w:rPr>
          <w:sz w:val="24"/>
          <w:szCs w:val="24"/>
        </w:rPr>
      </w:pPr>
      <w:r>
        <w:rPr>
          <w:bCs/>
          <w:sz w:val="24"/>
          <w:szCs w:val="24"/>
        </w:rPr>
        <w:t>Обязательство Продавца передать недвижимость</w:t>
      </w:r>
      <w:r>
        <w:rPr>
          <w:rFonts w:hint="default"/>
          <w:bCs/>
          <w:sz w:val="24"/>
          <w:szCs w:val="24"/>
          <w:lang w:val="ru-RU"/>
        </w:rPr>
        <w:t xml:space="preserve"> (движимое имущество)</w:t>
      </w:r>
      <w:r>
        <w:rPr>
          <w:bCs/>
          <w:sz w:val="24"/>
          <w:szCs w:val="24"/>
        </w:rPr>
        <w:t xml:space="preserve"> Покупателю считается исполненным после передачи имущества Покупателю и подписания сторонами акта приема-передачи</w:t>
      </w:r>
      <w:bookmarkEnd w:id="9"/>
      <w:bookmarkStart w:id="10" w:name="_ref_1-005245d2b93e45"/>
      <w:r>
        <w:rPr>
          <w:sz w:val="24"/>
          <w:szCs w:val="24"/>
        </w:rPr>
        <w:t>.</w:t>
      </w:r>
    </w:p>
    <w:p w14:paraId="51AD976A">
      <w:pPr>
        <w:pStyle w:val="31"/>
        <w:numPr>
          <w:ilvl w:val="1"/>
          <w:numId w:val="2"/>
        </w:numPr>
        <w:jc w:val="both"/>
        <w:rPr>
          <w:sz w:val="24"/>
          <w:szCs w:val="24"/>
        </w:rPr>
      </w:pPr>
      <w:r>
        <w:rPr>
          <w:bCs/>
          <w:sz w:val="24"/>
          <w:szCs w:val="24"/>
        </w:rPr>
        <w:t>Риск случайной гибели или случайного повреждения недвижимого</w:t>
      </w:r>
      <w:r>
        <w:rPr>
          <w:rFonts w:hint="default"/>
          <w:bCs/>
          <w:sz w:val="24"/>
          <w:szCs w:val="24"/>
          <w:lang w:val="ru-RU"/>
        </w:rPr>
        <w:t xml:space="preserve"> (движимого)  </w:t>
      </w:r>
      <w:r>
        <w:rPr>
          <w:bCs/>
          <w:sz w:val="24"/>
          <w:szCs w:val="24"/>
        </w:rPr>
        <w:t xml:space="preserve"> имущества переходит на Покупателя после передачи имущества Покупателю и подписания сторонами акта приема-передачи.</w:t>
      </w:r>
      <w:bookmarkEnd w:id="10"/>
      <w:bookmarkStart w:id="11" w:name="_ref_1-4f2fc80f307940"/>
    </w:p>
    <w:p w14:paraId="3FE9922B">
      <w:pPr>
        <w:pStyle w:val="31"/>
        <w:numPr>
          <w:ilvl w:val="1"/>
          <w:numId w:val="2"/>
        </w:numPr>
        <w:jc w:val="both"/>
        <w:rPr>
          <w:sz w:val="24"/>
          <w:szCs w:val="24"/>
        </w:rPr>
      </w:pPr>
      <w:r>
        <w:rPr>
          <w:bCs/>
          <w:sz w:val="24"/>
          <w:szCs w:val="24"/>
        </w:rPr>
        <w:t>Право собственности у Покупателя возникает с момента его регистрации, если иное не установлено законом.</w:t>
      </w:r>
      <w:bookmarkEnd w:id="11"/>
      <w:bookmarkStart w:id="12" w:name="_ref_1-b53480bad0dc4c"/>
    </w:p>
    <w:p w14:paraId="14524DDC">
      <w:pPr>
        <w:pStyle w:val="31"/>
        <w:numPr>
          <w:ilvl w:val="1"/>
          <w:numId w:val="2"/>
        </w:numPr>
        <w:jc w:val="both"/>
        <w:rPr>
          <w:sz w:val="24"/>
          <w:szCs w:val="24"/>
        </w:rPr>
      </w:pPr>
      <w:r>
        <w:rPr>
          <w:bCs/>
          <w:sz w:val="24"/>
          <w:szCs w:val="24"/>
        </w:rPr>
        <w:t>Расходы по государственной регистрации перехода права собственности несет Покупатель.</w:t>
      </w:r>
      <w:bookmarkEnd w:id="12"/>
    </w:p>
    <w:p w14:paraId="0FD253FF">
      <w:pPr>
        <w:pStyle w:val="31"/>
        <w:jc w:val="both"/>
        <w:rPr>
          <w:sz w:val="24"/>
          <w:szCs w:val="24"/>
        </w:rPr>
      </w:pPr>
    </w:p>
    <w:p w14:paraId="67A75351">
      <w:pPr>
        <w:pStyle w:val="31"/>
        <w:numPr>
          <w:ilvl w:val="0"/>
          <w:numId w:val="2"/>
        </w:numPr>
        <w:jc w:val="center"/>
        <w:rPr>
          <w:bCs/>
          <w:sz w:val="24"/>
          <w:szCs w:val="24"/>
        </w:rPr>
      </w:pPr>
      <w:bookmarkStart w:id="13" w:name="_ref_1-5d0ff0d5ace346"/>
      <w:r>
        <w:rPr>
          <w:bCs/>
          <w:sz w:val="24"/>
          <w:szCs w:val="24"/>
        </w:rPr>
        <w:t>Ответственность сторон</w:t>
      </w:r>
      <w:bookmarkEnd w:id="13"/>
      <w:r>
        <w:rPr>
          <w:sz w:val="24"/>
          <w:szCs w:val="24"/>
        </w:rPr>
        <w:t>.</w:t>
      </w:r>
    </w:p>
    <w:p w14:paraId="34654E34">
      <w:pPr>
        <w:pStyle w:val="31"/>
        <w:numPr>
          <w:ilvl w:val="1"/>
          <w:numId w:val="2"/>
        </w:numPr>
        <w:jc w:val="both"/>
        <w:rPr>
          <w:sz w:val="24"/>
          <w:szCs w:val="24"/>
        </w:rPr>
      </w:pPr>
      <w:bookmarkStart w:id="14" w:name="_ref_1-66f54abdb8684c"/>
      <w:r>
        <w:rPr>
          <w:bCs/>
          <w:sz w:val="24"/>
          <w:szCs w:val="24"/>
        </w:rPr>
        <w:t xml:space="preserve">За невыполнение или ненадлежащее выполнение обязательств по настоящему </w:t>
      </w:r>
      <w:r>
        <w:rPr>
          <w:sz w:val="24"/>
          <w:szCs w:val="24"/>
        </w:rPr>
        <w:t>д</w:t>
      </w:r>
      <w:r>
        <w:rPr>
          <w:bCs/>
          <w:sz w:val="24"/>
          <w:szCs w:val="24"/>
        </w:rPr>
        <w:t xml:space="preserve">оговору виновная сторона несет имущественную ответственность в соответствии с законодательством Российской Федерации и настоящим </w:t>
      </w:r>
      <w:r>
        <w:rPr>
          <w:sz w:val="24"/>
          <w:szCs w:val="24"/>
        </w:rPr>
        <w:t>д</w:t>
      </w:r>
      <w:r>
        <w:rPr>
          <w:bCs/>
          <w:sz w:val="24"/>
          <w:szCs w:val="24"/>
        </w:rPr>
        <w:t>оговором.</w:t>
      </w:r>
      <w:r>
        <w:rPr>
          <w:sz w:val="24"/>
          <w:szCs w:val="24"/>
        </w:rPr>
        <w:t xml:space="preserve"> </w:t>
      </w:r>
    </w:p>
    <w:p w14:paraId="242B4307">
      <w:pPr>
        <w:pStyle w:val="31"/>
        <w:numPr>
          <w:ilvl w:val="1"/>
          <w:numId w:val="2"/>
        </w:numPr>
        <w:jc w:val="both"/>
        <w:rPr>
          <w:sz w:val="24"/>
          <w:szCs w:val="24"/>
        </w:rPr>
      </w:pPr>
      <w:r>
        <w:rPr>
          <w:bCs/>
          <w:sz w:val="24"/>
          <w:szCs w:val="24"/>
        </w:rPr>
        <w:t>Покупатель вправе требовать возмещения только реального ущерба, упущенная выгода возмещению не подлежит.</w:t>
      </w:r>
      <w:bookmarkEnd w:id="14"/>
      <w:bookmarkStart w:id="15" w:name="_ref_1-b935d9d59d2241"/>
    </w:p>
    <w:p w14:paraId="3CF812F6">
      <w:pPr>
        <w:pStyle w:val="31"/>
        <w:numPr>
          <w:ilvl w:val="1"/>
          <w:numId w:val="2"/>
        </w:numPr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Если иное не предусмотрено законом, сторона, не исполнившая или ненадлежащим образом исполнившая свои обязательства при осуществлении предпринимательской </w:t>
      </w:r>
      <w:r>
        <w:rPr>
          <w:sz w:val="24"/>
          <w:szCs w:val="24"/>
        </w:rPr>
        <w:t>деятельности, несет</w:t>
      </w:r>
      <w:r>
        <w:rPr>
          <w:bCs/>
          <w:sz w:val="24"/>
          <w:szCs w:val="24"/>
        </w:rPr>
        <w:t xml:space="preserve">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 К таким обстоятельствам не относятся, в частности, нарушение обязанностей со стороны контрагентов должника, отсутствие на рынке нужных для исполнения товаров, отсутствие у должника необходимых денежных средств.</w:t>
      </w:r>
      <w:bookmarkEnd w:id="15"/>
    </w:p>
    <w:p w14:paraId="61B8FDA6">
      <w:pPr>
        <w:pStyle w:val="31"/>
        <w:jc w:val="both"/>
        <w:rPr>
          <w:sz w:val="24"/>
          <w:szCs w:val="24"/>
        </w:rPr>
      </w:pPr>
    </w:p>
    <w:p w14:paraId="3E66A5AD">
      <w:pPr>
        <w:pStyle w:val="31"/>
        <w:numPr>
          <w:ilvl w:val="0"/>
          <w:numId w:val="2"/>
        </w:numPr>
        <w:jc w:val="center"/>
        <w:rPr>
          <w:bCs/>
          <w:sz w:val="24"/>
          <w:szCs w:val="24"/>
        </w:rPr>
      </w:pPr>
      <w:bookmarkStart w:id="16" w:name="_ref_1-2d82407d936343"/>
      <w:r>
        <w:rPr>
          <w:bCs/>
          <w:sz w:val="24"/>
          <w:szCs w:val="24"/>
        </w:rPr>
        <w:t>Изменение и расторжение договора</w:t>
      </w:r>
      <w:bookmarkEnd w:id="16"/>
      <w:r>
        <w:rPr>
          <w:bCs/>
          <w:sz w:val="24"/>
          <w:szCs w:val="24"/>
        </w:rPr>
        <w:t>.</w:t>
      </w:r>
    </w:p>
    <w:p w14:paraId="7E495012">
      <w:pPr>
        <w:pStyle w:val="31"/>
        <w:numPr>
          <w:ilvl w:val="1"/>
          <w:numId w:val="2"/>
        </w:numPr>
        <w:jc w:val="both"/>
        <w:rPr>
          <w:bCs/>
          <w:sz w:val="24"/>
          <w:szCs w:val="24"/>
        </w:rPr>
      </w:pPr>
      <w:bookmarkStart w:id="17" w:name="_ref_1-278b02752ff747"/>
      <w:r>
        <w:rPr>
          <w:bCs/>
          <w:sz w:val="24"/>
          <w:szCs w:val="24"/>
        </w:rPr>
        <w:t>Договор может быть изменен или расторгнут по соглашению сторон.</w:t>
      </w:r>
      <w:bookmarkEnd w:id="17"/>
      <w:bookmarkStart w:id="18" w:name="_ref_1-3705ba1be31044"/>
    </w:p>
    <w:p w14:paraId="30746CB3">
      <w:pPr>
        <w:pStyle w:val="31"/>
        <w:numPr>
          <w:ilvl w:val="1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Существенное изменение обстоятельств, из которых стороны исходили при заключении Договора, не является основанием для его изменения.</w:t>
      </w:r>
      <w:bookmarkEnd w:id="18"/>
      <w:bookmarkStart w:id="19" w:name="_ref_1-9e84b32b09d046"/>
    </w:p>
    <w:p w14:paraId="1177B2E3">
      <w:pPr>
        <w:pStyle w:val="31"/>
        <w:numPr>
          <w:ilvl w:val="1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Существенное изменение обстоятельств, из которых стороны исходили при заключении договора, не является основанием для его расторжения.</w:t>
      </w:r>
    </w:p>
    <w:p w14:paraId="497FD455">
      <w:pPr>
        <w:pStyle w:val="31"/>
        <w:numPr>
          <w:ilvl w:val="1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Если Покупатель в нарушение договора отказывается принять и оплатить имущество, в сроки, предусмотренные настоящим договором, Продавец вправе по своему выбору потребовать оплаты недвижимого</w:t>
      </w:r>
      <w:r>
        <w:rPr>
          <w:rFonts w:hint="default"/>
          <w:bCs/>
          <w:sz w:val="24"/>
          <w:szCs w:val="24"/>
          <w:lang w:val="ru-RU"/>
        </w:rPr>
        <w:t xml:space="preserve"> (движимого)</w:t>
      </w:r>
      <w:r>
        <w:rPr>
          <w:bCs/>
          <w:sz w:val="24"/>
          <w:szCs w:val="24"/>
        </w:rPr>
        <w:t xml:space="preserve"> имущества либо отказаться от исполнения договора</w:t>
      </w:r>
      <w:bookmarkEnd w:id="19"/>
      <w:r>
        <w:rPr>
          <w:bCs/>
          <w:sz w:val="24"/>
          <w:szCs w:val="24"/>
        </w:rPr>
        <w:t>, письменно уведомив Покупателя. Настоящий договор будет считаться расторгнутым с момента направления Продавцом уведомления Покупателю, при этом Покупатель теряет право на получение имущества и утрачивает право на возврат внесенного задатка. В данном случае оформление сторонами дополнительного соглашения о расторжении настоящего договора не требуется.</w:t>
      </w:r>
    </w:p>
    <w:p w14:paraId="10918021">
      <w:pPr>
        <w:pStyle w:val="31"/>
        <w:jc w:val="both"/>
        <w:rPr>
          <w:sz w:val="24"/>
          <w:szCs w:val="24"/>
        </w:rPr>
      </w:pPr>
    </w:p>
    <w:p w14:paraId="3AE90F4D">
      <w:pPr>
        <w:pStyle w:val="31"/>
        <w:numPr>
          <w:ilvl w:val="0"/>
          <w:numId w:val="2"/>
        </w:numPr>
        <w:jc w:val="center"/>
        <w:rPr>
          <w:bCs/>
          <w:sz w:val="24"/>
          <w:szCs w:val="24"/>
        </w:rPr>
      </w:pPr>
      <w:bookmarkStart w:id="20" w:name="_ref_1-f2ffc36a5af946"/>
      <w:r>
        <w:rPr>
          <w:bCs/>
          <w:sz w:val="24"/>
          <w:szCs w:val="24"/>
        </w:rPr>
        <w:t>Разрешение споров</w:t>
      </w:r>
      <w:bookmarkEnd w:id="20"/>
      <w:r>
        <w:rPr>
          <w:bCs/>
          <w:sz w:val="24"/>
          <w:szCs w:val="24"/>
        </w:rPr>
        <w:t>.</w:t>
      </w:r>
    </w:p>
    <w:p w14:paraId="2BA61C6D">
      <w:pPr>
        <w:pStyle w:val="31"/>
        <w:numPr>
          <w:ilvl w:val="1"/>
          <w:numId w:val="2"/>
        </w:numPr>
        <w:jc w:val="both"/>
        <w:rPr>
          <w:bCs/>
          <w:sz w:val="24"/>
          <w:szCs w:val="24"/>
        </w:rPr>
      </w:pPr>
      <w:bookmarkStart w:id="21" w:name="_ref_1-91e1a48555d24b"/>
      <w:r>
        <w:rPr>
          <w:bCs/>
          <w:sz w:val="24"/>
          <w:szCs w:val="24"/>
        </w:rPr>
        <w:t>До</w:t>
      </w:r>
      <w:bookmarkEnd w:id="21"/>
      <w:bookmarkStart w:id="22" w:name="_ref_1-201a443b6e7740"/>
      <w:r>
        <w:rPr>
          <w:bCs/>
          <w:sz w:val="24"/>
          <w:szCs w:val="24"/>
        </w:rPr>
        <w:t xml:space="preserve"> предъявления иска, вытекающего из договора, сторона, которая считает, что ее права нарушены (далее - заинтересованная сторона), обязана направить другой стороне письменную претензию.</w:t>
      </w:r>
      <w:bookmarkEnd w:id="22"/>
      <w:bookmarkStart w:id="23" w:name="_ref_1-e9f9b359135a4e"/>
      <w:r>
        <w:rPr>
          <w:bCs/>
          <w:sz w:val="24"/>
          <w:szCs w:val="24"/>
        </w:rPr>
        <w:t xml:space="preserve"> </w:t>
      </w:r>
    </w:p>
    <w:p w14:paraId="6FF2FCA6">
      <w:pPr>
        <w:pStyle w:val="31"/>
        <w:numPr>
          <w:ilvl w:val="1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договора. К претензии необходимо приложить копии документов, подтверждающих изложенные в ней обстоятельства.</w:t>
      </w:r>
      <w:bookmarkEnd w:id="23"/>
      <w:bookmarkStart w:id="24" w:name="_ref_1-3e59be5aa62e41"/>
    </w:p>
    <w:p w14:paraId="5CBF1196">
      <w:pPr>
        <w:pStyle w:val="31"/>
        <w:numPr>
          <w:ilvl w:val="1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Сторона, которая получила претензию, обязана ее рассмотреть и направить письменный мотивированный ответ другой стороне в течение 10 рабочих дней с момента получения претензии.</w:t>
      </w:r>
      <w:bookmarkEnd w:id="24"/>
      <w:bookmarkStart w:id="25" w:name="_ref_1-60a914ad19f445"/>
    </w:p>
    <w:p w14:paraId="11EA1EDA">
      <w:pPr>
        <w:pStyle w:val="31"/>
        <w:numPr>
          <w:ilvl w:val="1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Заинтересованная сторона вправе передать спор на рассмотрение суда по истечении 15 рабочих дней со дня направления претензии.</w:t>
      </w:r>
      <w:bookmarkEnd w:id="25"/>
      <w:bookmarkStart w:id="26" w:name="_ref_1-93f1e4392e2247"/>
    </w:p>
    <w:p w14:paraId="7B59C88E">
      <w:pPr>
        <w:pStyle w:val="31"/>
        <w:numPr>
          <w:ilvl w:val="1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Сторона, которая получила предложение другой стороны об изменении или о расторжении договора, обязана его рассмотреть и дать письменный ответ в течение 10 рабочих дней с момента получения указанного предложения.</w:t>
      </w:r>
      <w:bookmarkEnd w:id="26"/>
      <w:bookmarkStart w:id="27" w:name="_ref_1-9208eeb0525246"/>
    </w:p>
    <w:p w14:paraId="017C0F4D">
      <w:pPr>
        <w:pStyle w:val="31"/>
        <w:numPr>
          <w:ilvl w:val="1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Споры, вытекающие из договора, рассматриваются арбитражным судом в порядке, предусмотренном законодательством РФ.</w:t>
      </w:r>
      <w:bookmarkEnd w:id="27"/>
      <w:bookmarkStart w:id="28" w:name="_ref_1-386ebf834ceb46"/>
    </w:p>
    <w:p w14:paraId="25848218">
      <w:pPr>
        <w:pStyle w:val="31"/>
        <w:jc w:val="both"/>
        <w:rPr>
          <w:bCs/>
          <w:sz w:val="24"/>
          <w:szCs w:val="24"/>
        </w:rPr>
      </w:pPr>
    </w:p>
    <w:p w14:paraId="64706D02">
      <w:pPr>
        <w:pStyle w:val="31"/>
        <w:numPr>
          <w:ilvl w:val="0"/>
          <w:numId w:val="2"/>
        </w:num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Заключительные положения</w:t>
      </w:r>
      <w:bookmarkEnd w:id="28"/>
      <w:r>
        <w:rPr>
          <w:bCs/>
          <w:sz w:val="24"/>
          <w:szCs w:val="24"/>
        </w:rPr>
        <w:t>.</w:t>
      </w:r>
    </w:p>
    <w:p w14:paraId="2D73213E">
      <w:pPr>
        <w:pStyle w:val="31"/>
        <w:numPr>
          <w:ilvl w:val="1"/>
          <w:numId w:val="2"/>
        </w:numPr>
        <w:jc w:val="both"/>
        <w:rPr>
          <w:bCs/>
          <w:sz w:val="24"/>
          <w:szCs w:val="24"/>
        </w:rPr>
      </w:pPr>
      <w:bookmarkStart w:id="29" w:name="_ref_1-6d7b2842f24f41"/>
      <w:r>
        <w:rPr>
          <w:bCs/>
          <w:sz w:val="24"/>
          <w:szCs w:val="24"/>
        </w:rPr>
        <w:t>Если иное не предусмотрено законом, заявления, уведомления, извещения, требования или иные юридически значимые сообщения, с которыми закон или договор связывает наступление гражданско-правовых последствий для другого лица, влекут наступление таких последствий с момента доставки соответствующего сообщения этому лицу или его представителю.</w:t>
      </w:r>
      <w:bookmarkEnd w:id="29"/>
      <w:r>
        <w:rPr>
          <w:bCs/>
          <w:sz w:val="24"/>
          <w:szCs w:val="24"/>
        </w:rPr>
        <w:t xml:space="preserve"> Сообщение считается доставленным и в тех случаях, когда оно поступило адресату, но по обстоятельствам, зависящим от него, не было ему вручено или адресат не ознакомился с ним.</w:t>
      </w:r>
      <w:bookmarkStart w:id="30" w:name="_ref_1-b21a8b07d0e040"/>
    </w:p>
    <w:p w14:paraId="11EA9C6C">
      <w:pPr>
        <w:pStyle w:val="31"/>
        <w:numPr>
          <w:ilvl w:val="1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Во всем, что не оговорено в настоящем договоре, стороны руководствуются законодательством Российской Федерации.</w:t>
      </w:r>
    </w:p>
    <w:p w14:paraId="50D3F496">
      <w:pPr>
        <w:pStyle w:val="31"/>
        <w:numPr>
          <w:ilvl w:val="1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Договор составлен в трех экземплярах: по одному для каждой из сторон и один для регистрирующего органа.</w:t>
      </w:r>
      <w:bookmarkEnd w:id="30"/>
    </w:p>
    <w:p w14:paraId="7924EC08">
      <w:pPr>
        <w:pStyle w:val="31"/>
        <w:ind w:left="720"/>
        <w:jc w:val="both"/>
        <w:rPr>
          <w:bCs/>
          <w:sz w:val="24"/>
          <w:szCs w:val="24"/>
        </w:rPr>
      </w:pPr>
    </w:p>
    <w:p w14:paraId="613D12BE">
      <w:pPr>
        <w:pStyle w:val="34"/>
        <w:numPr>
          <w:ilvl w:val="0"/>
          <w:numId w:val="2"/>
        </w:numPr>
        <w:spacing w:before="0" w:after="0" w:line="240" w:lineRule="auto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Реквизиты и подписи сторон:</w:t>
      </w:r>
    </w:p>
    <w:tbl>
      <w:tblPr>
        <w:tblStyle w:val="19"/>
        <w:tblW w:w="0" w:type="auto"/>
        <w:tblInd w:w="7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51"/>
        <w:gridCol w:w="4851"/>
      </w:tblGrid>
      <w:tr w14:paraId="29EAD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0" w:type="dxa"/>
          </w:tcPr>
          <w:p w14:paraId="22C91CC9">
            <w:pPr>
              <w:pStyle w:val="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Продавец:</w:t>
            </w:r>
          </w:p>
        </w:tc>
        <w:tc>
          <w:tcPr>
            <w:tcW w:w="5210" w:type="dxa"/>
          </w:tcPr>
          <w:p w14:paraId="3A8AADEC">
            <w:pPr>
              <w:pStyle w:val="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Покупатель:</w:t>
            </w:r>
          </w:p>
        </w:tc>
      </w:tr>
      <w:tr w14:paraId="0C561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0" w:type="dxa"/>
          </w:tcPr>
          <w:p w14:paraId="2F75D43E">
            <w:pPr>
              <w:pStyle w:val="29"/>
              <w:keepNext/>
              <w:spacing w:before="0" w:after="0" w:line="240" w:lineRule="auto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Конкурсный управляющий</w:t>
            </w:r>
          </w:p>
          <w:p w14:paraId="60B700D5">
            <w:pPr>
              <w:pStyle w:val="29"/>
              <w:keepNext/>
              <w:spacing w:before="0" w:after="0" w:line="240" w:lineRule="auto"/>
              <w:jc w:val="left"/>
              <w:rPr>
                <w:rFonts w:hint="default"/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ООО</w:t>
            </w:r>
            <w:r>
              <w:rPr>
                <w:rFonts w:hint="default"/>
                <w:b/>
                <w:bCs/>
                <w:sz w:val="24"/>
                <w:szCs w:val="24"/>
                <w:lang w:val="ru-RU"/>
              </w:rPr>
              <w:t xml:space="preserve"> ТД «МЕДВЕДЬ»</w:t>
            </w:r>
          </w:p>
          <w:p w14:paraId="7DE9C32D">
            <w:pPr>
              <w:pStyle w:val="29"/>
              <w:keepNext/>
              <w:spacing w:before="0" w:after="0"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lang w:val="ru-RU"/>
              </w:rPr>
              <w:t>р/с 40702810912010663319, ПАО "Совкомбанк", БИК 044525360, ИНН Банка 4401116480, кор/счет 30101810445250000360</w:t>
            </w:r>
          </w:p>
        </w:tc>
        <w:tc>
          <w:tcPr>
            <w:tcW w:w="5210" w:type="dxa"/>
          </w:tcPr>
          <w:p w14:paraId="185425D6">
            <w:pPr>
              <w:pStyle w:val="31"/>
              <w:rPr>
                <w:bCs/>
                <w:sz w:val="24"/>
                <w:szCs w:val="24"/>
              </w:rPr>
            </w:pPr>
          </w:p>
        </w:tc>
      </w:tr>
      <w:tr w14:paraId="28E1D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0" w:type="dxa"/>
          </w:tcPr>
          <w:p w14:paraId="0C8CAFDD">
            <w:pPr>
              <w:pStyle w:val="31"/>
              <w:rPr>
                <w:bCs/>
                <w:sz w:val="24"/>
                <w:szCs w:val="24"/>
              </w:rPr>
            </w:pPr>
          </w:p>
          <w:p w14:paraId="70365107">
            <w:pPr>
              <w:pStyle w:val="3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_______________________</w:t>
            </w:r>
          </w:p>
          <w:p w14:paraId="34AE2389">
            <w:pPr>
              <w:pStyle w:val="31"/>
              <w:rPr>
                <w:rFonts w:hint="default"/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</w:rPr>
              <w:t xml:space="preserve">м.п.                                             </w:t>
            </w:r>
            <w:r>
              <w:t xml:space="preserve"> </w:t>
            </w:r>
            <w:r>
              <w:rPr>
                <w:lang w:val="ru-RU"/>
              </w:rPr>
              <w:t>Г</w:t>
            </w:r>
            <w:r>
              <w:rPr>
                <w:rFonts w:hint="default"/>
                <w:lang w:val="ru-RU"/>
              </w:rPr>
              <w:t>.</w:t>
            </w:r>
            <w:r>
              <w:rPr>
                <w:bCs/>
                <w:sz w:val="24"/>
                <w:szCs w:val="24"/>
              </w:rPr>
              <w:t>И.</w:t>
            </w:r>
            <w:r>
              <w:rPr>
                <w:rFonts w:hint="default"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bCs/>
                <w:sz w:val="24"/>
                <w:szCs w:val="24"/>
              </w:rPr>
              <w:t>Кадеров</w:t>
            </w:r>
            <w:r>
              <w:rPr>
                <w:bCs/>
                <w:sz w:val="24"/>
                <w:szCs w:val="24"/>
                <w:lang w:val="ru-RU"/>
              </w:rPr>
              <w:t>а</w:t>
            </w:r>
          </w:p>
          <w:p w14:paraId="214E9256">
            <w:pPr>
              <w:pStyle w:val="31"/>
              <w:tabs>
                <w:tab w:val="left" w:pos="348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ab/>
            </w:r>
          </w:p>
        </w:tc>
        <w:tc>
          <w:tcPr>
            <w:tcW w:w="5210" w:type="dxa"/>
          </w:tcPr>
          <w:p w14:paraId="25C7D162">
            <w:pPr>
              <w:pStyle w:val="31"/>
              <w:rPr>
                <w:bCs/>
                <w:sz w:val="24"/>
                <w:szCs w:val="24"/>
              </w:rPr>
            </w:pPr>
          </w:p>
          <w:p w14:paraId="003D665E">
            <w:pPr>
              <w:pStyle w:val="3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_______________________</w:t>
            </w:r>
          </w:p>
          <w:p w14:paraId="2CF5365F">
            <w:pPr>
              <w:pStyle w:val="3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м.п.</w:t>
            </w:r>
          </w:p>
          <w:p w14:paraId="48643C09">
            <w:pPr>
              <w:pStyle w:val="31"/>
              <w:rPr>
                <w:bCs/>
                <w:sz w:val="24"/>
                <w:szCs w:val="24"/>
              </w:rPr>
            </w:pPr>
          </w:p>
        </w:tc>
      </w:tr>
    </w:tbl>
    <w:p w14:paraId="4E4C1B4C">
      <w:pPr>
        <w:pStyle w:val="31"/>
        <w:ind w:left="720"/>
        <w:jc w:val="both"/>
        <w:rPr>
          <w:bCs/>
          <w:sz w:val="24"/>
          <w:szCs w:val="24"/>
        </w:rPr>
      </w:pPr>
    </w:p>
    <w:p w14:paraId="58BEB8DB">
      <w:pPr>
        <w:pStyle w:val="31"/>
        <w:jc w:val="both"/>
        <w:rPr>
          <w:bCs/>
          <w:sz w:val="24"/>
          <w:szCs w:val="24"/>
        </w:rPr>
      </w:pPr>
    </w:p>
    <w:p w14:paraId="6EA9CE0D">
      <w:pPr>
        <w:pStyle w:val="31"/>
        <w:jc w:val="both"/>
        <w:rPr>
          <w:bCs/>
          <w:sz w:val="24"/>
          <w:szCs w:val="24"/>
        </w:rPr>
      </w:pPr>
    </w:p>
    <w:p w14:paraId="01045A57">
      <w:pPr>
        <w:pStyle w:val="31"/>
        <w:jc w:val="both"/>
        <w:rPr>
          <w:bCs/>
          <w:sz w:val="24"/>
          <w:szCs w:val="24"/>
        </w:rPr>
      </w:pPr>
    </w:p>
    <w:sectPr>
      <w:headerReference r:id="rId5" w:type="first"/>
      <w:footerReference r:id="rId7" w:type="first"/>
      <w:footerReference r:id="rId6" w:type="default"/>
      <w:footnotePr>
        <w:numRestart w:val="eachSect"/>
      </w:footnotePr>
      <w:pgSz w:w="11907" w:h="16839"/>
      <w:pgMar w:top="567" w:right="567" w:bottom="567" w:left="1134" w:header="720" w:footer="720" w:gutter="0"/>
      <w:pgNumType w:start="1"/>
      <w:cols w:space="720" w:num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71D70F">
    <w:pPr>
      <w:pStyle w:val="17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>
      <w:t>2</w:t>
    </w:r>
    <w:r>
      <w:fldChar w:fldCharType="end"/>
    </w:r>
    <w:r>
      <w:t xml:space="preserve"> из </w:t>
    </w:r>
    <w:r>
      <w:fldChar w:fldCharType="begin"/>
    </w:r>
    <w:r>
      <w:instrText xml:space="preserve"> SECTIONPAGES </w:instrText>
    </w:r>
    <w:r>
      <w:fldChar w:fldCharType="separate"/>
    </w:r>
    <w:r>
      <w:t>3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9D5FDC">
    <w:pPr>
      <w:pStyle w:val="17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>
      <w:t>1</w:t>
    </w:r>
    <w:r>
      <w:fldChar w:fldCharType="end"/>
    </w:r>
    <w:r>
      <w:t xml:space="preserve"> из </w:t>
    </w:r>
    <w:r>
      <w:fldChar w:fldCharType="begin"/>
    </w:r>
    <w:r>
      <w:instrText xml:space="preserve"> SECTIONPAGES </w:instrText>
    </w:r>
    <w:r>
      <w:fldChar w:fldCharType="separate"/>
    </w:r>
    <w: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0FDED8">
    <w:pPr>
      <w:pStyle w:val="15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9256A6"/>
    <w:multiLevelType w:val="multilevel"/>
    <w:tmpl w:val="399256A6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4F3F770A"/>
    <w:multiLevelType w:val="multilevel"/>
    <w:tmpl w:val="4F3F770A"/>
    <w:lvl w:ilvl="0" w:tentative="0">
      <w:start w:val="1"/>
      <w:numFmt w:val="decimal"/>
      <w:pStyle w:val="2"/>
      <w:suff w:val="space"/>
      <w:lvlText w:val="%1."/>
      <w:lvlJc w:val="left"/>
      <w:rPr>
        <w:rFonts w:hint="default"/>
      </w:rPr>
    </w:lvl>
    <w:lvl w:ilvl="1" w:tentative="0">
      <w:start w:val="1"/>
      <w:numFmt w:val="decimal"/>
      <w:pStyle w:val="3"/>
      <w:suff w:val="space"/>
      <w:lvlText w:val="%1.%2."/>
      <w:lvlJc w:val="left"/>
      <w:rPr>
        <w:rFonts w:hint="default"/>
      </w:rPr>
    </w:lvl>
    <w:lvl w:ilvl="2" w:tentative="0">
      <w:start w:val="1"/>
      <w:numFmt w:val="decimal"/>
      <w:pStyle w:val="4"/>
      <w:suff w:val="space"/>
      <w:lvlText w:val="%1.%2.%3."/>
      <w:lvlJc w:val="left"/>
      <w:rPr>
        <w:rFonts w:hint="default"/>
      </w:rPr>
    </w:lvl>
    <w:lvl w:ilvl="3" w:tentative="0">
      <w:start w:val="1"/>
      <w:numFmt w:val="decimal"/>
      <w:pStyle w:val="5"/>
      <w:suff w:val="space"/>
      <w:lvlText w:val="%1.%2.%3.%4."/>
      <w:lvlJc w:val="left"/>
      <w:rPr>
        <w:rFonts w:hint="default"/>
      </w:rPr>
    </w:lvl>
    <w:lvl w:ilvl="4" w:tentative="0">
      <w:start w:val="1"/>
      <w:numFmt w:val="decimal"/>
      <w:pStyle w:val="6"/>
      <w:suff w:val="space"/>
      <w:lvlText w:val="%1.%2.%3.%4.%5."/>
      <w:lvlJc w:val="left"/>
      <w:rPr>
        <w:rFonts w:hint="default"/>
      </w:rPr>
    </w:lvl>
    <w:lvl w:ilvl="5" w:tentative="0">
      <w:start w:val="1"/>
      <w:numFmt w:val="decimal"/>
      <w:pStyle w:val="7"/>
      <w:suff w:val="space"/>
      <w:lvlText w:val="%1.%2.%3.%4.%5.%6."/>
      <w:lvlJc w:val="left"/>
      <w:rPr>
        <w:rFonts w:hint="default"/>
      </w:rPr>
    </w:lvl>
    <w:lvl w:ilvl="6" w:tentative="0">
      <w:start w:val="1"/>
      <w:numFmt w:val="decimal"/>
      <w:pStyle w:val="8"/>
      <w:suff w:val="space"/>
      <w:lvlText w:val="%1.%2.%3.%4.%5.%6.%7."/>
      <w:lvlJc w:val="left"/>
      <w:rPr>
        <w:rFonts w:hint="default"/>
      </w:rPr>
    </w:lvl>
    <w:lvl w:ilvl="7" w:tentative="0">
      <w:start w:val="1"/>
      <w:numFmt w:val="decimal"/>
      <w:pStyle w:val="9"/>
      <w:suff w:val="space"/>
      <w:lvlText w:val="%1.%2.%3.%4.%5.%6.%7.%8."/>
      <w:lvlJc w:val="left"/>
      <w:rPr>
        <w:rFonts w:hint="default"/>
      </w:rPr>
    </w:lvl>
    <w:lvl w:ilvl="8" w:tentative="0">
      <w:start w:val="1"/>
      <w:numFmt w:val="decimal"/>
      <w:pStyle w:val="10"/>
      <w:suff w:val="space"/>
      <w:lvlText w:val="%1.%2.%3.%4.%5.%6.%7.%8.%9."/>
      <w:lvlJc w:val="left"/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numRestart w:val="eachSect"/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58D"/>
    <w:rsid w:val="00012116"/>
    <w:rsid w:val="000F3B62"/>
    <w:rsid w:val="00124114"/>
    <w:rsid w:val="00183A3F"/>
    <w:rsid w:val="001B2080"/>
    <w:rsid w:val="001D50F0"/>
    <w:rsid w:val="00317F6E"/>
    <w:rsid w:val="0033058D"/>
    <w:rsid w:val="003806B3"/>
    <w:rsid w:val="0038091B"/>
    <w:rsid w:val="00405E58"/>
    <w:rsid w:val="00417051"/>
    <w:rsid w:val="00542343"/>
    <w:rsid w:val="00596924"/>
    <w:rsid w:val="006716AA"/>
    <w:rsid w:val="0068658C"/>
    <w:rsid w:val="00754B9A"/>
    <w:rsid w:val="00801E90"/>
    <w:rsid w:val="00843F59"/>
    <w:rsid w:val="00936C72"/>
    <w:rsid w:val="00957340"/>
    <w:rsid w:val="009F1C28"/>
    <w:rsid w:val="00A00645"/>
    <w:rsid w:val="00A641A4"/>
    <w:rsid w:val="00AF0BD0"/>
    <w:rsid w:val="00BE5C99"/>
    <w:rsid w:val="00C474FC"/>
    <w:rsid w:val="00C84186"/>
    <w:rsid w:val="00CF1CA3"/>
    <w:rsid w:val="00DB3255"/>
    <w:rsid w:val="00E502E5"/>
    <w:rsid w:val="00E7189C"/>
    <w:rsid w:val="00F31201"/>
    <w:rsid w:val="00F85FD3"/>
    <w:rsid w:val="00F93764"/>
    <w:rsid w:val="00FC362B"/>
    <w:rsid w:val="00FE0071"/>
    <w:rsid w:val="00FF46A1"/>
    <w:rsid w:val="0ED540DF"/>
    <w:rsid w:val="19466A0C"/>
    <w:rsid w:val="2C836F9E"/>
    <w:rsid w:val="5C392C65"/>
    <w:rsid w:val="6C223043"/>
    <w:rsid w:val="6EDF607B"/>
    <w:rsid w:val="7C0B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before="120" w:after="120" w:line="276" w:lineRule="auto"/>
      <w:ind w:firstLine="482"/>
      <w:jc w:val="both"/>
    </w:pPr>
    <w:rPr>
      <w:rFonts w:ascii="Times New Roman" w:hAnsi="Times New Roman" w:eastAsia="Times New Roman" w:cs="Times New Roman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numPr>
        <w:ilvl w:val="0"/>
        <w:numId w:val="1"/>
      </w:numPr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styleId="3">
    <w:name w:val="heading 2"/>
    <w:basedOn w:val="1"/>
    <w:next w:val="1"/>
    <w:link w:val="21"/>
    <w:qFormat/>
    <w:uiPriority w:val="9"/>
    <w:pPr>
      <w:numPr>
        <w:ilvl w:val="1"/>
        <w:numId w:val="1"/>
      </w:numPr>
      <w:outlineLvl w:val="1"/>
    </w:pPr>
    <w:rPr>
      <w:bCs/>
      <w:szCs w:val="26"/>
    </w:rPr>
  </w:style>
  <w:style w:type="paragraph" w:styleId="4">
    <w:name w:val="heading 3"/>
    <w:basedOn w:val="1"/>
    <w:next w:val="1"/>
    <w:link w:val="22"/>
    <w:qFormat/>
    <w:uiPriority w:val="9"/>
    <w:pPr>
      <w:numPr>
        <w:ilvl w:val="2"/>
        <w:numId w:val="1"/>
      </w:numPr>
      <w:outlineLvl w:val="2"/>
    </w:pPr>
    <w:rPr>
      <w:bCs/>
    </w:rPr>
  </w:style>
  <w:style w:type="paragraph" w:styleId="5">
    <w:name w:val="heading 4"/>
    <w:basedOn w:val="1"/>
    <w:next w:val="1"/>
    <w:link w:val="23"/>
    <w:qFormat/>
    <w:uiPriority w:val="9"/>
    <w:pPr>
      <w:numPr>
        <w:ilvl w:val="3"/>
        <w:numId w:val="1"/>
      </w:numPr>
      <w:outlineLvl w:val="3"/>
    </w:pPr>
    <w:rPr>
      <w:bCs/>
      <w:iCs/>
    </w:rPr>
  </w:style>
  <w:style w:type="paragraph" w:styleId="6">
    <w:name w:val="heading 5"/>
    <w:basedOn w:val="1"/>
    <w:next w:val="1"/>
    <w:link w:val="24"/>
    <w:qFormat/>
    <w:uiPriority w:val="9"/>
    <w:pPr>
      <w:keepNext/>
      <w:keepLines/>
      <w:numPr>
        <w:ilvl w:val="4"/>
        <w:numId w:val="1"/>
      </w:numPr>
      <w:spacing w:before="200" w:after="0"/>
      <w:outlineLvl w:val="4"/>
    </w:pPr>
  </w:style>
  <w:style w:type="paragraph" w:styleId="7">
    <w:name w:val="heading 6"/>
    <w:basedOn w:val="1"/>
    <w:next w:val="1"/>
    <w:link w:val="25"/>
    <w:qFormat/>
    <w:uiPriority w:val="9"/>
    <w:pPr>
      <w:keepNext/>
      <w:keepLines/>
      <w:numPr>
        <w:ilvl w:val="5"/>
        <w:numId w:val="1"/>
      </w:numPr>
      <w:spacing w:before="200" w:after="0"/>
      <w:outlineLvl w:val="5"/>
    </w:pPr>
    <w:rPr>
      <w:i/>
      <w:iCs/>
      <w:color w:val="243F60"/>
    </w:rPr>
  </w:style>
  <w:style w:type="paragraph" w:styleId="8">
    <w:name w:val="heading 7"/>
    <w:basedOn w:val="1"/>
    <w:next w:val="1"/>
    <w:link w:val="26"/>
    <w:qFormat/>
    <w:uiPriority w:val="9"/>
    <w:pPr>
      <w:keepNext/>
      <w:keepLines/>
      <w:numPr>
        <w:ilvl w:val="6"/>
        <w:numId w:val="1"/>
      </w:numPr>
      <w:spacing w:before="200" w:after="0"/>
      <w:outlineLvl w:val="6"/>
    </w:pPr>
    <w:rPr>
      <w:i/>
      <w:iCs/>
      <w:color w:val="404040"/>
    </w:rPr>
  </w:style>
  <w:style w:type="paragraph" w:styleId="9">
    <w:name w:val="heading 8"/>
    <w:basedOn w:val="1"/>
    <w:next w:val="1"/>
    <w:link w:val="27"/>
    <w:qFormat/>
    <w:uiPriority w:val="9"/>
    <w:pPr>
      <w:keepNext/>
      <w:keepLines/>
      <w:numPr>
        <w:ilvl w:val="7"/>
        <w:numId w:val="1"/>
      </w:numPr>
      <w:spacing w:before="200" w:after="0"/>
      <w:outlineLvl w:val="7"/>
    </w:pPr>
    <w:rPr>
      <w:color w:val="4F81BD"/>
      <w:szCs w:val="20"/>
    </w:rPr>
  </w:style>
  <w:style w:type="paragraph" w:styleId="10">
    <w:name w:val="heading 9"/>
    <w:basedOn w:val="1"/>
    <w:next w:val="1"/>
    <w:link w:val="28"/>
    <w:qFormat/>
    <w:uiPriority w:val="9"/>
    <w:pPr>
      <w:keepNext/>
      <w:keepLines/>
      <w:numPr>
        <w:ilvl w:val="8"/>
        <w:numId w:val="1"/>
      </w:numPr>
      <w:spacing w:before="200" w:after="0"/>
      <w:outlineLvl w:val="8"/>
    </w:pPr>
    <w:rPr>
      <w:i/>
      <w:iCs/>
      <w:color w:val="404040"/>
      <w:szCs w:val="20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semiHidden/>
    <w:unhideWhenUsed/>
    <w:qFormat/>
    <w:uiPriority w:val="99"/>
    <w:rPr>
      <w:color w:val="0000FF"/>
      <w:u w:val="single"/>
    </w:rPr>
  </w:style>
  <w:style w:type="character" w:styleId="14">
    <w:name w:val="Strong"/>
    <w:basedOn w:val="11"/>
    <w:qFormat/>
    <w:uiPriority w:val="22"/>
    <w:rPr>
      <w:b/>
      <w:bCs/>
    </w:rPr>
  </w:style>
  <w:style w:type="paragraph" w:styleId="15">
    <w:name w:val="header"/>
    <w:basedOn w:val="1"/>
    <w:link w:val="32"/>
    <w:unhideWhenUsed/>
    <w:qFormat/>
    <w:uiPriority w:val="99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paragraph" w:styleId="16">
    <w:name w:val="Title"/>
    <w:basedOn w:val="1"/>
    <w:next w:val="1"/>
    <w:link w:val="30"/>
    <w:qFormat/>
    <w:uiPriority w:val="10"/>
    <w:pPr>
      <w:keepNext/>
      <w:keepLines/>
      <w:spacing w:after="300" w:line="240" w:lineRule="auto"/>
      <w:ind w:firstLine="0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paragraph" w:styleId="17">
    <w:name w:val="footer"/>
    <w:basedOn w:val="1"/>
    <w:link w:val="33"/>
    <w:unhideWhenUsed/>
    <w:qFormat/>
    <w:uiPriority w:val="99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paragraph" w:styleId="18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table" w:styleId="19">
    <w:name w:val="Table Grid"/>
    <w:basedOn w:val="12"/>
    <w:unhideWhenUsed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1 Знак"/>
    <w:basedOn w:val="11"/>
    <w:link w:val="2"/>
    <w:qFormat/>
    <w:uiPriority w:val="9"/>
    <w:rPr>
      <w:rFonts w:ascii="Times New Roman" w:hAnsi="Times New Roman" w:eastAsia="Times New Roman" w:cs="Times New Roman"/>
      <w:b/>
      <w:bCs/>
      <w:sz w:val="24"/>
      <w:szCs w:val="28"/>
      <w:lang w:eastAsia="ru-RU"/>
    </w:rPr>
  </w:style>
  <w:style w:type="character" w:customStyle="1" w:styleId="21">
    <w:name w:val="Заголовок 2 Знак"/>
    <w:basedOn w:val="11"/>
    <w:link w:val="3"/>
    <w:qFormat/>
    <w:uiPriority w:val="9"/>
    <w:rPr>
      <w:rFonts w:ascii="Times New Roman" w:hAnsi="Times New Roman" w:eastAsia="Times New Roman" w:cs="Times New Roman"/>
      <w:bCs/>
      <w:szCs w:val="26"/>
      <w:lang w:eastAsia="ru-RU"/>
    </w:rPr>
  </w:style>
  <w:style w:type="character" w:customStyle="1" w:styleId="22">
    <w:name w:val="Заголовок 3 Знак"/>
    <w:basedOn w:val="11"/>
    <w:link w:val="4"/>
    <w:qFormat/>
    <w:uiPriority w:val="9"/>
    <w:rPr>
      <w:rFonts w:ascii="Times New Roman" w:hAnsi="Times New Roman" w:eastAsia="Times New Roman" w:cs="Times New Roman"/>
      <w:bCs/>
      <w:lang w:eastAsia="ru-RU"/>
    </w:rPr>
  </w:style>
  <w:style w:type="character" w:customStyle="1" w:styleId="23">
    <w:name w:val="Заголовок 4 Знак"/>
    <w:basedOn w:val="11"/>
    <w:link w:val="5"/>
    <w:qFormat/>
    <w:uiPriority w:val="9"/>
    <w:rPr>
      <w:rFonts w:ascii="Times New Roman" w:hAnsi="Times New Roman" w:eastAsia="Times New Roman" w:cs="Times New Roman"/>
      <w:bCs/>
      <w:iCs/>
      <w:lang w:eastAsia="ru-RU"/>
    </w:rPr>
  </w:style>
  <w:style w:type="character" w:customStyle="1" w:styleId="24">
    <w:name w:val="Заголовок 5 Знак"/>
    <w:basedOn w:val="11"/>
    <w:link w:val="6"/>
    <w:qFormat/>
    <w:uiPriority w:val="9"/>
    <w:rPr>
      <w:rFonts w:ascii="Times New Roman" w:hAnsi="Times New Roman" w:eastAsia="Times New Roman" w:cs="Times New Roman"/>
      <w:lang w:eastAsia="ru-RU"/>
    </w:rPr>
  </w:style>
  <w:style w:type="character" w:customStyle="1" w:styleId="25">
    <w:name w:val="Заголовок 6 Знак"/>
    <w:basedOn w:val="11"/>
    <w:link w:val="7"/>
    <w:qFormat/>
    <w:uiPriority w:val="9"/>
    <w:rPr>
      <w:rFonts w:ascii="Times New Roman" w:hAnsi="Times New Roman" w:eastAsia="Times New Roman" w:cs="Times New Roman"/>
      <w:i/>
      <w:iCs/>
      <w:color w:val="243F60"/>
      <w:lang w:eastAsia="ru-RU"/>
    </w:rPr>
  </w:style>
  <w:style w:type="character" w:customStyle="1" w:styleId="26">
    <w:name w:val="Заголовок 7 Знак"/>
    <w:basedOn w:val="11"/>
    <w:link w:val="8"/>
    <w:qFormat/>
    <w:uiPriority w:val="9"/>
    <w:rPr>
      <w:rFonts w:ascii="Times New Roman" w:hAnsi="Times New Roman" w:eastAsia="Times New Roman" w:cs="Times New Roman"/>
      <w:i/>
      <w:iCs/>
      <w:color w:val="404040"/>
      <w:lang w:eastAsia="ru-RU"/>
    </w:rPr>
  </w:style>
  <w:style w:type="character" w:customStyle="1" w:styleId="27">
    <w:name w:val="Заголовок 8 Знак"/>
    <w:basedOn w:val="11"/>
    <w:link w:val="9"/>
    <w:qFormat/>
    <w:uiPriority w:val="9"/>
    <w:rPr>
      <w:rFonts w:ascii="Times New Roman" w:hAnsi="Times New Roman" w:eastAsia="Times New Roman" w:cs="Times New Roman"/>
      <w:color w:val="4F81BD"/>
      <w:szCs w:val="20"/>
      <w:lang w:eastAsia="ru-RU"/>
    </w:rPr>
  </w:style>
  <w:style w:type="character" w:customStyle="1" w:styleId="28">
    <w:name w:val="Заголовок 9 Знак"/>
    <w:basedOn w:val="11"/>
    <w:link w:val="10"/>
    <w:qFormat/>
    <w:uiPriority w:val="9"/>
    <w:rPr>
      <w:rFonts w:ascii="Times New Roman" w:hAnsi="Times New Roman" w:eastAsia="Times New Roman" w:cs="Times New Roman"/>
      <w:i/>
      <w:iCs/>
      <w:color w:val="404040"/>
      <w:szCs w:val="20"/>
      <w:lang w:eastAsia="ru-RU"/>
    </w:rPr>
  </w:style>
  <w:style w:type="paragraph" w:customStyle="1" w:styleId="29">
    <w:name w:val="Normal unindented"/>
    <w:qFormat/>
    <w:uiPriority w:val="0"/>
    <w:pPr>
      <w:spacing w:before="120" w:after="120" w:line="276" w:lineRule="auto"/>
      <w:jc w:val="both"/>
    </w:pPr>
    <w:rPr>
      <w:rFonts w:ascii="Times New Roman" w:hAnsi="Times New Roman" w:eastAsia="Times New Roman" w:cs="Times New Roman"/>
      <w:sz w:val="22"/>
      <w:szCs w:val="22"/>
      <w:lang w:val="ru-RU" w:eastAsia="ru-RU" w:bidi="ar-SA"/>
    </w:rPr>
  </w:style>
  <w:style w:type="character" w:customStyle="1" w:styleId="30">
    <w:name w:val="Название Знак"/>
    <w:basedOn w:val="11"/>
    <w:link w:val="16"/>
    <w:qFormat/>
    <w:uiPriority w:val="10"/>
    <w:rPr>
      <w:rFonts w:ascii="Times New Roman" w:hAnsi="Times New Roman" w:eastAsia="Times New Roman" w:cs="Times New Roman"/>
      <w:b/>
      <w:spacing w:val="5"/>
      <w:kern w:val="28"/>
      <w:sz w:val="28"/>
      <w:szCs w:val="52"/>
      <w:lang w:eastAsia="ru-RU"/>
    </w:rPr>
  </w:style>
  <w:style w:type="paragraph" w:styleId="31">
    <w:name w:val="No Spacing"/>
    <w:qFormat/>
    <w:uiPriority w:val="1"/>
    <w:pPr>
      <w:spacing w:after="0" w:line="240" w:lineRule="auto"/>
    </w:pPr>
    <w:rPr>
      <w:rFonts w:ascii="Times New Roman" w:hAnsi="Times New Roman" w:eastAsia="Times New Roman" w:cs="Times New Roman"/>
      <w:sz w:val="22"/>
      <w:szCs w:val="22"/>
      <w:lang w:val="ru-RU" w:eastAsia="ru-RU" w:bidi="ar-SA"/>
    </w:rPr>
  </w:style>
  <w:style w:type="character" w:customStyle="1" w:styleId="32">
    <w:name w:val="Верхний колонтитул Знак"/>
    <w:basedOn w:val="11"/>
    <w:link w:val="15"/>
    <w:qFormat/>
    <w:uiPriority w:val="99"/>
    <w:rPr>
      <w:rFonts w:ascii="Times New Roman" w:hAnsi="Times New Roman" w:eastAsia="Times New Roman" w:cs="Times New Roman"/>
      <w:sz w:val="16"/>
      <w:szCs w:val="20"/>
      <w:lang w:eastAsia="ru-RU"/>
    </w:rPr>
  </w:style>
  <w:style w:type="character" w:customStyle="1" w:styleId="33">
    <w:name w:val="Нижний колонтитул Знак"/>
    <w:basedOn w:val="11"/>
    <w:link w:val="17"/>
    <w:qFormat/>
    <w:uiPriority w:val="99"/>
    <w:rPr>
      <w:rFonts w:ascii="Times New Roman" w:hAnsi="Times New Roman" w:eastAsia="Times New Roman" w:cs="Times New Roman"/>
      <w:sz w:val="16"/>
      <w:szCs w:val="20"/>
      <w:lang w:eastAsia="ru-RU"/>
    </w:rPr>
  </w:style>
  <w:style w:type="paragraph" w:styleId="34">
    <w:name w:val="List Paragraph"/>
    <w:basedOn w:val="1"/>
    <w:qFormat/>
    <w:uiPriority w:val="34"/>
    <w:pPr>
      <w:ind w:left="720"/>
      <w:contextualSpacing/>
    </w:pPr>
  </w:style>
  <w:style w:type="character" w:customStyle="1" w:styleId="35">
    <w:name w:val="highlight5"/>
    <w:qFormat/>
    <w:uiPriority w:val="0"/>
    <w:rPr>
      <w:rFonts w:hint="default" w:ascii="Times New Roman" w:hAnsi="Times New Roman" w:cs="Times New Roman"/>
      <w:b/>
      <w:bCs/>
      <w:color w:val="000000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1058</Words>
  <Characters>6034</Characters>
  <Lines>50</Lines>
  <Paragraphs>14</Paragraphs>
  <TotalTime>3</TotalTime>
  <ScaleCrop>false</ScaleCrop>
  <LinksUpToDate>false</LinksUpToDate>
  <CharactersWithSpaces>7078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2021-12-08T02:38:00Z</dcterms:created>
  <dc:creator>Work</dc:creator>
  <cp:lastModifiedBy>WPS_1686207294</cp:lastModifiedBy>
  <dcterms:modified xsi:type="dcterms:W3CDTF">2024-12-10T07:05:16Z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6625DAD29607495B8559E7ED72F6F92F_13</vt:lpwstr>
  </property>
</Properties>
</file>