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7C536D">
        <w:t>4</w:t>
      </w:r>
      <w:r w:rsidR="002102BC" w:rsidRPr="00C4493B">
        <w:t xml:space="preserve"> 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7C536D" w:rsidP="0094341C">
      <w:pPr>
        <w:ind w:firstLine="708"/>
        <w:jc w:val="both"/>
      </w:pPr>
      <w:r>
        <w:t>Супрун Станислав Александрович</w:t>
      </w:r>
      <w:r>
        <w:rPr>
          <w:bCs/>
        </w:rPr>
        <w:t>, именуемый</w:t>
      </w:r>
      <w:bookmarkStart w:id="1" w:name="_GoBack"/>
      <w:bookmarkEnd w:id="1"/>
      <w:r w:rsidR="00F315CE" w:rsidRPr="00F315CE">
        <w:rPr>
          <w:bCs/>
        </w:rPr>
        <w:t xml:space="preserve"> 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987171">
        <w:t>2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2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="007C536D">
        <w:rPr>
          <w:b/>
        </w:rPr>
        <w:t xml:space="preserve">  </w:t>
      </w:r>
      <w:r w:rsidRPr="00C4493B"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B30A5A" w:rsidRPr="00376051" w:rsidRDefault="007C536D" w:rsidP="007C53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</w:rPr>
              <w:t>Супрун Станислав Александрович</w:t>
            </w:r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  <w:bookmarkEnd w:id="2"/>
    </w:tbl>
    <w:p w:rsidR="00D72A8D" w:rsidRPr="00D72A8D" w:rsidRDefault="00D72A8D" w:rsidP="00D72A8D">
      <w:pPr>
        <w:rPr>
          <w:b/>
        </w:rPr>
      </w:pPr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1A" w:rsidRDefault="00182F1A" w:rsidP="00847CB3">
      <w:r>
        <w:separator/>
      </w:r>
    </w:p>
  </w:endnote>
  <w:endnote w:type="continuationSeparator" w:id="0">
    <w:p w:rsidR="00182F1A" w:rsidRDefault="00182F1A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1A" w:rsidRDefault="00182F1A" w:rsidP="00847CB3">
      <w:r>
        <w:separator/>
      </w:r>
    </w:p>
  </w:footnote>
  <w:footnote w:type="continuationSeparator" w:id="0">
    <w:p w:rsidR="00182F1A" w:rsidRDefault="00182F1A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82F1A"/>
    <w:rsid w:val="00193681"/>
    <w:rsid w:val="001A6D25"/>
    <w:rsid w:val="001D39BF"/>
    <w:rsid w:val="001D6444"/>
    <w:rsid w:val="001D6DF7"/>
    <w:rsid w:val="001E4216"/>
    <w:rsid w:val="002102BC"/>
    <w:rsid w:val="0021189F"/>
    <w:rsid w:val="00242332"/>
    <w:rsid w:val="00242F1A"/>
    <w:rsid w:val="00251492"/>
    <w:rsid w:val="002679F7"/>
    <w:rsid w:val="00273299"/>
    <w:rsid w:val="00293CDC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36D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5080"/>
    <w:rsid w:val="00B30A5A"/>
    <w:rsid w:val="00B36F77"/>
    <w:rsid w:val="00B44107"/>
    <w:rsid w:val="00B72856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C6DF7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185D6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KM nssd</cp:lastModifiedBy>
  <cp:revision>9</cp:revision>
  <cp:lastPrinted>2020-08-03T06:35:00Z</cp:lastPrinted>
  <dcterms:created xsi:type="dcterms:W3CDTF">2022-04-13T15:41:00Z</dcterms:created>
  <dcterms:modified xsi:type="dcterms:W3CDTF">2024-01-11T08:06:00Z</dcterms:modified>
</cp:coreProperties>
</file>