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-75" w:type="dxa"/>
        <w:tblLayout w:type="fixed"/>
        <w:tblCellMar>
          <w:top w:w="75" w:type="dxa"/>
          <w:left w:w="75" w:type="dxa"/>
          <w:bottom w:w="75" w:type="dxa"/>
          <w:right w:w="75" w:type="dxa"/>
        </w:tblCellMar>
      </w:tblPr>
      <w:tblGrid>
        <w:gridCol w:w="9921"/>
      </w:tblGrid>
      <w:tr>
        <w:trPr/>
        <w:tc>
          <w:tcPr>
            <w:tcW w:w="9921" w:type="dxa"/>
            <w:tcBorders/>
            <w:vAlign w:val="center"/>
          </w:tcPr>
          <w:p>
            <w:pPr>
              <w:pStyle w:val="Style11"/>
              <w:snapToGrid w:val="false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9921" w:type="dxa"/>
            <w:tcBorders/>
          </w:tcPr>
          <w:p>
            <w:pPr>
              <w:pStyle w:val="Normal"/>
              <w:rPr/>
            </w:pPr>
            <w:r>
              <w:rPr>
                <w:sz w:val="16"/>
                <w:szCs w:val="16"/>
              </w:rPr>
              <w:t xml:space="preserve">Финансовый управляющий Чернец Алексей Александрович - Савушкин Алексей Вячеславович </w:t>
            </w:r>
          </w:p>
          <w:p>
            <w:pPr>
              <w:pStyle w:val="Normal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mc:AlternateContent>
                <mc:Choice Requires="wps">
                  <w:drawing>
                    <wp:inline distT="0" distB="0" distL="0" distR="0">
                      <wp:extent cx="6299835" cy="9525"/>
                      <wp:effectExtent l="0" t="0" r="0" b="0"/>
                      <wp:docPr id="1" name="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300000" cy="9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0a0a0"/>
                              </a:solidFill>
                              <a:ln w="0">
                                <a:noFill/>
                              </a:ln>
                            </wps:spPr>
                            <wps:style>
                              <a:lnRef idx="0"/>
                              <a:fillRef idx="0"/>
                              <a:effectRef idx="0"/>
                              <a:fontRef idx="minor"/>
                            </wps:style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shape_0" fillcolor="#a0a0a0" stroked="f" o:allowincell="f" style="position:absolute;margin-left:0pt;margin-top:-0.8pt;width:496pt;height:0.7pt;mso-wrap-style:none;v-text-anchor:middle;mso-position-vertical:top">
                      <v:fill o:detectmouseclick="t" type="solid" color2="#5f5f5f"/>
                      <v:stroke color="#3465a4" joinstyle="round" endcap="flat"/>
                      <w10:wrap type="square"/>
                    </v:rect>
                  </w:pict>
                </mc:Fallback>
              </mc:AlternateContent>
            </w:r>
          </w:p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413100, обл. Саратовская, г Энгельс, а/я 56, тел.: +79272262178, эл. почта: alexei.savushkin@gmail.com </w:t>
            </w:r>
          </w:p>
        </w:tc>
      </w:tr>
      <w:tr>
        <w:trPr/>
        <w:tc>
          <w:tcPr>
            <w:tcW w:w="9921" w:type="dxa"/>
            <w:tcBorders/>
            <w:vAlign w:val="center"/>
          </w:tcPr>
          <w:p>
            <w:pPr>
              <w:pStyle w:val="Normal"/>
              <w:snapToGrid w:val="false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>
          <w:vanish/>
          <w:sz w:val="20"/>
          <w:szCs w:val="20"/>
        </w:rPr>
      </w:pPr>
      <w:r>
        <w:rPr>
          <w:vanish/>
          <w:sz w:val="20"/>
          <w:szCs w:val="20"/>
        </w:rPr>
      </w:r>
    </w:p>
    <w:tbl>
      <w:tblPr>
        <w:tblW w:w="5000" w:type="pct"/>
        <w:jc w:val="left"/>
        <w:tblInd w:w="-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9921"/>
      </w:tblGrid>
      <w:tr>
        <w:trPr/>
        <w:tc>
          <w:tcPr>
            <w:tcW w:w="9921" w:type="dxa"/>
            <w:tcBorders/>
            <w:vAlign w:val="center"/>
          </w:tcPr>
          <w:tbl>
            <w:tblPr>
              <w:tblW w:w="9366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436"/>
              <w:gridCol w:w="4930"/>
            </w:tblGrid>
            <w:tr>
              <w:trPr>
                <w:trHeight w:val="2832" w:hRule="atLeast"/>
              </w:trPr>
              <w:tc>
                <w:tcPr>
                  <w:tcW w:w="4436" w:type="dxa"/>
                  <w:tcBorders>
                    <w:right w:val="single" w:sz="4" w:space="0" w:color="000000"/>
                  </w:tcBorders>
                </w:tcPr>
                <w:p>
                  <w:pPr>
                    <w:pStyle w:val="Normal"/>
                    <w:jc w:val="right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  <w:t>В</w:t>
                  </w:r>
                </w:p>
                <w:p>
                  <w:pPr>
                    <w:pStyle w:val="Normal"/>
                    <w:jc w:val="right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</w:r>
                </w:p>
                <w:p>
                  <w:pPr>
                    <w:pStyle w:val="Normal"/>
                    <w:jc w:val="right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</w:r>
                </w:p>
                <w:p>
                  <w:pPr>
                    <w:pStyle w:val="Normal"/>
                    <w:jc w:val="right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</w:r>
                </w:p>
                <w:p>
                  <w:pPr>
                    <w:pStyle w:val="Normal"/>
                    <w:jc w:val="right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</w:r>
                </w:p>
                <w:p>
                  <w:pPr>
                    <w:pStyle w:val="Normal"/>
                    <w:jc w:val="right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  <w:t>Должник:</w:t>
                  </w:r>
                </w:p>
                <w:p>
                  <w:pPr>
                    <w:pStyle w:val="Normal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</w:r>
                </w:p>
                <w:p>
                  <w:pPr>
                    <w:pStyle w:val="Normal"/>
                    <w:jc w:val="right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</w:r>
                </w:p>
                <w:p>
                  <w:pPr>
                    <w:pStyle w:val="Normal"/>
                    <w:jc w:val="right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</w:r>
                </w:p>
                <w:p>
                  <w:pPr>
                    <w:pStyle w:val="Normal"/>
                    <w:jc w:val="right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  <w:t>Финансовый управляющий:</w:t>
                  </w:r>
                </w:p>
                <w:p>
                  <w:pPr>
                    <w:pStyle w:val="Normal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</w:r>
                </w:p>
              </w:tc>
              <w:tc>
                <w:tcPr>
                  <w:tcW w:w="4930" w:type="dxa"/>
                  <w:tcBorders>
                    <w:left w:val="single" w:sz="4" w:space="0" w:color="000000"/>
                  </w:tcBorders>
                </w:tcPr>
                <w:p>
                  <w:pPr>
                    <w:pStyle w:val="Normal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  <w:t>Арбитражный суд Саратовской области</w:t>
                  </w:r>
                </w:p>
                <w:p>
                  <w:pPr>
                    <w:pStyle w:val="Normal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410002, г. Саратов, ул. Бабушкин Взвоз, д. 1</w:t>
                  </w:r>
                </w:p>
                <w:p>
                  <w:pPr>
                    <w:pStyle w:val="Normal"/>
                    <w:textAlignment w:val="baseline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Дело А57-23026/2022</w:t>
                  </w:r>
                </w:p>
                <w:p>
                  <w:pPr>
                    <w:pStyle w:val="Normal"/>
                    <w:textAlignment w:val="baseline"/>
                    <w:rPr>
                      <w:b/>
                      <w:b/>
                    </w:rPr>
                  </w:pPr>
                  <w:r>
                    <w:rPr>
                      <w:b/>
                    </w:rPr>
                    <w:t>Судья К.А. Елистратов</w:t>
                  </w:r>
                </w:p>
                <w:p>
                  <w:pPr>
                    <w:pStyle w:val="Normal"/>
                    <w:rPr>
                      <w:b/>
                      <w:b/>
                    </w:rPr>
                  </w:pPr>
                  <w:r>
                    <w:rPr>
                      <w:b/>
                    </w:rPr>
                  </w:r>
                </w:p>
                <w:p>
                  <w:pPr>
                    <w:pStyle w:val="Normal"/>
                    <w:rPr/>
                  </w:pPr>
                  <w:r>
                    <w:rPr>
                      <w:b/>
                    </w:rPr>
                    <w:t>Чернец Алексей Александрович</w:t>
                  </w:r>
                  <w:r>
                    <w:rPr/>
                    <w:t xml:space="preserve"> </w:t>
                  </w:r>
                </w:p>
                <w:p>
                  <w:pPr>
                    <w:pStyle w:val="Normal"/>
                    <w:rPr>
                      <w:lang w:eastAsia="en-US"/>
                    </w:rPr>
                  </w:pPr>
                  <w:r>
                    <w:rPr/>
                    <w:t>413162, Саратовская область, с. Генеральское, Новой Конституции, 12/2</w:t>
                  </w:r>
                </w:p>
                <w:p>
                  <w:pPr>
                    <w:pStyle w:val="Normal"/>
                    <w:rPr>
                      <w:rFonts w:eastAsia="Calibri"/>
                      <w:lang w:eastAsia="en-US"/>
                    </w:rPr>
                  </w:pPr>
                  <w:r>
                    <w:rPr>
                      <w:rFonts w:eastAsia="Calibri"/>
                      <w:lang w:eastAsia="en-US"/>
                    </w:rPr>
                  </w:r>
                </w:p>
                <w:p>
                  <w:pPr>
                    <w:pStyle w:val="Normal"/>
                    <w:rPr>
                      <w:rFonts w:eastAsia="Calibri"/>
                      <w:b/>
                      <w:b/>
                    </w:rPr>
                  </w:pPr>
                  <w:r>
                    <w:rPr>
                      <w:rFonts w:eastAsia="Calibri"/>
                      <w:b/>
                    </w:rPr>
                    <w:t>Савушкин Алексей Вячеславович</w:t>
                  </w:r>
                </w:p>
                <w:p>
                  <w:pPr>
                    <w:pStyle w:val="Normal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  <w:t>413100, Саратовская обл., г. Энгельс, а/я 56</w:t>
                  </w:r>
                </w:p>
                <w:p>
                  <w:pPr>
                    <w:pStyle w:val="Normal"/>
                    <w:rPr>
                      <w:rFonts w:eastAsia="Calibri"/>
                    </w:rPr>
                  </w:pPr>
                  <w:r>
                    <w:rPr>
                      <w:rFonts w:eastAsia="Calibri"/>
                    </w:rPr>
                  </w:r>
                </w:p>
              </w:tc>
            </w:tr>
          </w:tbl>
          <w:p>
            <w:pPr>
              <w:pStyle w:val="11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tbl>
            <w:tblPr>
              <w:tblW w:w="9640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908"/>
              <w:gridCol w:w="4732"/>
            </w:tblGrid>
            <w:tr>
              <w:trPr>
                <w:trHeight w:val="249" w:hRule="atLeast"/>
              </w:trPr>
              <w:tc>
                <w:tcPr>
                  <w:tcW w:w="4908" w:type="dxa"/>
                  <w:tcBorders/>
                </w:tcPr>
                <w:p>
                  <w:pPr>
                    <w:pStyle w:val="11"/>
                    <w:rPr/>
                  </w:pPr>
                  <w:r>
                    <w:rPr>
                      <w:b/>
                      <w:sz w:val="24"/>
                      <w:szCs w:val="24"/>
                    </w:rPr>
                    <w:t>24.04.2023</w:t>
                  </w:r>
                </w:p>
              </w:tc>
              <w:tc>
                <w:tcPr>
                  <w:tcW w:w="4732" w:type="dxa"/>
                  <w:tcBorders/>
                </w:tcPr>
                <w:p>
                  <w:pPr>
                    <w:pStyle w:val="11"/>
                    <w:jc w:val="right"/>
                    <w:rPr>
                      <w:b/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г. Энгельс</w:t>
                  </w:r>
                </w:p>
              </w:tc>
            </w:tr>
          </w:tbl>
          <w:p>
            <w:pPr>
              <w:pStyle w:val="11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  <w:p>
            <w:pPr>
              <w:pStyle w:val="11"/>
              <w:ind w:left="720" w:hanging="72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pStyle w:val="11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Положение </w:t>
      </w:r>
      <w:r>
        <w:rPr>
          <w:sz w:val="22"/>
          <w:szCs w:val="22"/>
        </w:rPr>
        <w:br/>
      </w:r>
      <w:r>
        <w:rPr>
          <w:b/>
          <w:bCs/>
          <w:sz w:val="22"/>
          <w:szCs w:val="22"/>
        </w:rPr>
        <w:t>о порядке, об условиях и о сроках продажи имущества</w:t>
      </w:r>
      <w:r>
        <w:rPr>
          <w:sz w:val="22"/>
          <w:szCs w:val="22"/>
        </w:rPr>
        <w:t xml:space="preserve"> </w:t>
        <w:br/>
      </w:r>
      <w:r>
        <w:rPr>
          <w:b/>
          <w:bCs/>
          <w:sz w:val="22"/>
          <w:szCs w:val="22"/>
        </w:rPr>
        <w:t>Чернец Алексей Александрович</w:t>
      </w:r>
      <w:r>
        <w:rPr>
          <w:sz w:val="22"/>
          <w:szCs w:val="22"/>
        </w:rPr>
        <w:br/>
      </w:r>
    </w:p>
    <w:tbl>
      <w:tblPr>
        <w:tblW w:w="962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6"/>
        <w:gridCol w:w="2046"/>
        <w:gridCol w:w="7059"/>
      </w:tblGrid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Сведения об имуществе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Лот (1).</w:t>
            </w:r>
          </w:p>
          <w:p>
            <w:pPr>
              <w:pStyle w:val="Normal"/>
              <w:rPr/>
            </w:pPr>
            <w:r>
              <w:rPr/>
              <w:t>Земельный участок, площадь 30 кв.м., адрес (местонахождение): Россия, обл. Саратовская, р-н Энгельсский, с Генеральское, ул Новой Конституции, дом 19б, кадастровый (условный) номер: 64:38:080302:28</w:t>
            </w:r>
          </w:p>
          <w:p>
            <w:pPr>
              <w:pStyle w:val="Normal"/>
              <w:rPr/>
            </w:pPr>
            <w:r>
              <w:rPr/>
              <w:t>Гараж, площадь 25,6 кв.м., назначение: Нежилое, адрес (местонахождение): Россия, обл. Саратовская, с Генеральское, ул. Новой Конституции, дом 19Б, кадастровый (условный) номер: 64:38:080302:117</w:t>
            </w:r>
          </w:p>
          <w:p>
            <w:pPr>
              <w:pStyle w:val="Normal"/>
              <w:rPr/>
            </w:pPr>
            <w:r>
              <w:rPr/>
              <w:t>Начальная цена продажи: 50 110,04 рублей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1.1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Порядок ознакомления 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Ознакомление с имуществом производится с момента публикации сообщения о продаже имущества и до окончания приема заявок по предварительной записи по телефону: </w:t>
            </w:r>
            <w:r>
              <w:rPr>
                <w:lang w:val="en-US" w:eastAsia="en-US"/>
              </w:rPr>
              <w:t>+79272262178 или электронной почте: alexei.savushkin@gmail.com</w:t>
            </w:r>
            <w:r>
              <w:rPr/>
              <w:t>, документы находятся по адресу: г. Энгельс ул. Коммунистическая 31, офис адвокатов.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2.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Сроки продажи имущества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 течение месяца со дня утверждения судом настоящего Положения.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3.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Организатор торгов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Финансовый управляющий </w:t>
            </w:r>
            <w:r>
              <w:rPr>
                <w:lang w:val="en-US" w:eastAsia="en-US"/>
              </w:rPr>
              <w:t>Савушкин Алексей Вячеславович</w:t>
            </w:r>
            <w:r>
              <w:rPr/>
              <w:t xml:space="preserve">, </w:t>
            </w:r>
            <w:r>
              <w:rPr>
                <w:lang w:val="en-US" w:eastAsia="en-US"/>
              </w:rPr>
              <w:t>действующий на основании решения Арбитражного суда Саратовской области от 01.11.2022 г. (резолютивная часть объявлена 31.10.2022 г.) по делу № А57-23026/2022</w:t>
            </w:r>
          </w:p>
          <w:p>
            <w:pPr>
              <w:pStyle w:val="Normal"/>
              <w:rPr/>
            </w:pPr>
            <w:r>
              <w:rPr/>
              <w:t>Организатор торгов выполняет следующие функции:</w:t>
            </w:r>
          </w:p>
          <w:p>
            <w:pPr>
              <w:pStyle w:val="Normal"/>
              <w:rPr/>
            </w:pPr>
            <w:r>
              <w:rPr/>
              <w:t>- опубликовывает и размещает сообщение о продаже имущества и сообщение о результатах проведения торгов;</w:t>
            </w:r>
          </w:p>
          <w:p>
            <w:pPr>
              <w:pStyle w:val="Normal"/>
              <w:rPr/>
            </w:pPr>
            <w:r>
              <w:rPr/>
              <w:t>- определяет участников торгов;</w:t>
            </w:r>
          </w:p>
          <w:p>
            <w:pPr>
              <w:pStyle w:val="Normal"/>
              <w:rPr/>
            </w:pPr>
            <w:r>
              <w:rPr/>
              <w:t>- определяет победителя торгов и подписывает протокол о результатах проведения торгов;</w:t>
            </w:r>
          </w:p>
          <w:p>
            <w:pPr>
              <w:pStyle w:val="Normal"/>
              <w:rPr/>
            </w:pPr>
            <w:r>
              <w:rPr/>
              <w:t>- уведомляет заявителей и участников торгов о результатах проведения торгов.</w:t>
            </w:r>
          </w:p>
          <w:p>
            <w:pPr>
              <w:pStyle w:val="Normal"/>
              <w:rPr/>
            </w:pPr>
            <w:r>
              <w:rPr/>
              <w:t>Сведения об организаторе торгов:</w:t>
            </w:r>
          </w:p>
          <w:p>
            <w:pPr>
              <w:pStyle w:val="Normal"/>
              <w:rPr/>
            </w:pPr>
            <w:r>
              <w:rPr/>
              <w:t xml:space="preserve">- почтовый адрес: </w:t>
            </w:r>
            <w:r>
              <w:rPr>
                <w:lang w:val="en-US" w:eastAsia="en-US"/>
              </w:rPr>
              <w:t>413100, обл Саратовская, г Энгельс, а/я 56</w:t>
            </w:r>
          </w:p>
          <w:p>
            <w:pPr>
              <w:pStyle w:val="Normal"/>
              <w:rPr/>
            </w:pPr>
            <w:r>
              <w:rPr/>
              <w:t xml:space="preserve">- адрес электронной почты: </w:t>
            </w:r>
            <w:r>
              <w:rPr>
                <w:lang w:val="en-US" w:eastAsia="en-US"/>
              </w:rPr>
              <w:t>alexei.savushkin@gmail.com</w:t>
            </w:r>
          </w:p>
          <w:p>
            <w:pPr>
              <w:pStyle w:val="Normal"/>
              <w:rPr/>
            </w:pPr>
            <w:r>
              <w:rPr/>
              <w:t xml:space="preserve">- контактный номер: </w:t>
            </w:r>
            <w:r>
              <w:rPr>
                <w:lang w:val="en-US" w:eastAsia="en-US"/>
              </w:rPr>
              <w:t>+79272262178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4.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Форма торгов и форма представления предложений о цене имущества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5.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Место проведения торгов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Торги проводятся в электронной форме, на электронной площадке, аккредитованной СРО, членом которой выступает, арбитражный управляющий. Адрес, ссылка и реквизиты указываются в публикации о проведении торгов.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6.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Размер задатка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20% от начальной цены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7.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Срок и порядок внесения задатка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1. Срок внесения задатка - </w:t>
            </w:r>
            <w:r>
              <w:rPr>
                <w:lang w:val="en-US"/>
              </w:rPr>
              <w:t>не позднее даты окончания срока приема заявок</w:t>
            </w:r>
            <w:r>
              <w:rPr/>
              <w:t xml:space="preserve"> на участие в торгах</w:t>
            </w:r>
            <w:r>
              <w:rPr>
                <w:lang w:val="en-US"/>
              </w:rPr>
              <w:t xml:space="preserve">. </w:t>
            </w:r>
          </w:p>
          <w:p>
            <w:pPr>
              <w:pStyle w:val="Normal"/>
              <w:rPr/>
            </w:pPr>
            <w:r>
              <w:rPr/>
              <w:t>2. Внесение задатка осуществляется по следующим реквизитам, указанным в публикации о проведении торгов.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8.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Шаг аукциона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5% от начальной цены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9.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Сообщение о продаже имущества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Сообщение о продаже имущества </w:t>
            </w:r>
            <w:r>
              <w:rPr>
                <w:u w:val="single"/>
              </w:rPr>
              <w:t>не публикуются в газете «Коммерсантъ»</w:t>
            </w:r>
            <w:r>
              <w:rPr/>
              <w:t>, размещается только на Едином федеральном реестре сведений о банкротстве, не позднее, чем за 30 дней до даты проведения торгов.</w:t>
            </w:r>
          </w:p>
          <w:p>
            <w:pPr>
              <w:pStyle w:val="Normal"/>
              <w:rPr/>
            </w:pPr>
            <w:r>
              <w:rPr/>
              <w:t>Текст сообщения должен содержать следующие сведения:</w:t>
            </w:r>
          </w:p>
          <w:p>
            <w:pPr>
              <w:pStyle w:val="Normal"/>
              <w:rPr/>
            </w:pPr>
            <w:r>
              <w:rPr/>
              <w:t>сведения об имуществе, его составе, характеристиках, описание имущества, порядок ознакомления с имуществом;</w:t>
            </w:r>
          </w:p>
          <w:p>
            <w:pPr>
              <w:pStyle w:val="Normal"/>
              <w:rPr/>
            </w:pPr>
            <w:r>
              <w:rPr/>
              <w:t>сведения о форме проведения торгов и форме представления предложений о цене имущества;</w:t>
            </w:r>
          </w:p>
          <w:p>
            <w:pPr>
              <w:pStyle w:val="Normal"/>
              <w:rPr/>
            </w:pPr>
            <w:r>
              <w:rPr/>
              <w:t xml:space="preserve"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заявок, дата и время начала представления указанных предложений); </w:t>
            </w:r>
          </w:p>
          <w:p>
            <w:pPr>
              <w:pStyle w:val="Normal"/>
              <w:rPr/>
            </w:pPr>
            <w:r>
              <w:rPr/>
              <w:t>порядок оформления участия в торгах, перечень представляемых участниками торгов документов и требования к их оформлению;</w:t>
            </w:r>
          </w:p>
          <w:p>
            <w:pPr>
              <w:pStyle w:val="Normal"/>
              <w:rPr/>
            </w:pPr>
            <w:r>
              <w:rPr/>
              <w:t>размер задатка, сроки и порядок внесения задатка, реквизиты счетов, на которые вносится задаток;</w:t>
            </w:r>
          </w:p>
          <w:p>
            <w:pPr>
              <w:pStyle w:val="Normal"/>
              <w:rPr/>
            </w:pPr>
            <w:r>
              <w:rPr/>
              <w:t>начальная цена продажи имущества;</w:t>
            </w:r>
          </w:p>
          <w:p>
            <w:pPr>
              <w:pStyle w:val="Normal"/>
              <w:rPr/>
            </w:pPr>
            <w:r>
              <w:rPr/>
              <w:t>величина повышения начальной цены продажи имущества («шаг аукциона»);</w:t>
            </w:r>
          </w:p>
          <w:p>
            <w:pPr>
              <w:pStyle w:val="Normal"/>
              <w:rPr/>
            </w:pPr>
            <w:r>
              <w:rPr/>
              <w:t>порядок и критерии выявления победителя торгов;</w:t>
            </w:r>
          </w:p>
          <w:p>
            <w:pPr>
              <w:pStyle w:val="Normal"/>
              <w:rPr/>
            </w:pPr>
            <w:r>
              <w:rPr/>
              <w:t>дата, время и место подведения результатов торгов;</w:t>
            </w:r>
          </w:p>
          <w:p>
            <w:pPr>
              <w:pStyle w:val="Normal"/>
              <w:rPr/>
            </w:pPr>
            <w:r>
              <w:rPr/>
              <w:t>порядок и срок заключения договора купли-продажи имущества;</w:t>
            </w:r>
          </w:p>
          <w:p>
            <w:pPr>
              <w:pStyle w:val="Normal"/>
              <w:rPr/>
            </w:pPr>
            <w:r>
              <w:rPr/>
              <w:t>сроки платежей, реквизиты счетов, на которые вносятся платежи;</w:t>
            </w:r>
          </w:p>
          <w:p>
            <w:pPr>
              <w:pStyle w:val="Normal"/>
              <w:rPr/>
            </w:pPr>
            <w:r>
              <w:rPr/>
              <w:t>сведения об организаторе торгов, его почтовый адрес, адрес электронной почты, номер контактного телефона.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10.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Заявка на участие в торгах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Заявка на участие в торгах составляется в произвольной форме на русском языке и должна содержать следующие сведения:</w:t>
            </w:r>
          </w:p>
          <w:p>
            <w:pPr>
              <w:pStyle w:val="Normal"/>
              <w:rPr/>
            </w:pPr>
            <w:r>
              <w:rPr/>
              <w:t>а) наименование, организационно-правовая форма, место нахождения, почтовый адрес заявителя (для юридического лица);</w:t>
            </w:r>
          </w:p>
          <w:p>
            <w:pPr>
              <w:pStyle w:val="Normal"/>
              <w:rPr/>
            </w:pPr>
            <w:r>
              <w:rPr/>
              <w:t>б) фамилия, имя, отчество, паспортные данные, сведения о месте жительства заявителя (для физического лица);</w:t>
            </w:r>
          </w:p>
          <w:p>
            <w:pPr>
              <w:pStyle w:val="Normal"/>
              <w:rPr/>
            </w:pPr>
            <w:r>
              <w:rPr/>
              <w:t xml:space="preserve">в) номер контактного телефона, адрес электронной почты заявителя; </w:t>
            </w:r>
          </w:p>
          <w:p>
            <w:pPr>
              <w:pStyle w:val="Normal"/>
              <w:rPr/>
            </w:pPr>
            <w:r>
              <w:rPr/>
              <w:t>г)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>
            <w:pPr>
              <w:pStyle w:val="Normal"/>
              <w:rPr/>
            </w:pPr>
            <w:r>
              <w:rPr/>
              <w:t>Заявка на участие в торгах направляется с помощью программно-аппаратных средств сайта электронной площадки, на которой проводятся торги, в форме электронного сообщения, подписанного квалифицированной электронной подписью заявителя.</w:t>
            </w:r>
          </w:p>
          <w:p>
            <w:pPr>
              <w:pStyle w:val="Normal"/>
              <w:rPr/>
            </w:pPr>
            <w:r>
              <w:rPr/>
              <w:t>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счета, указанные в электронном сообщении о продаже. Заявитель вправе направить задаток на счета, указанные в электронном сообщении о продаже, без представления подписанного договора о задатке. В этом случае перечисление задатка заявителем в соответствии с электронным сообщением о продаже признается акцептом договора о задатке.</w:t>
            </w:r>
          </w:p>
          <w:p>
            <w:pPr>
              <w:pStyle w:val="Normal"/>
              <w:rPr/>
            </w:pPr>
            <w:r>
              <w:rPr/>
              <w:t>Заявитель вправе отозвать заявку на участие в торгах не позднее окончания срока представления заявок на участие в торгах посредством направления оператору электронной площадки электронного сообщения, подписанного квалифицированной электронной подписью заявителя.</w:t>
            </w:r>
          </w:p>
          <w:p>
            <w:pPr>
              <w:pStyle w:val="Normal"/>
              <w:rPr/>
            </w:pPr>
            <w:r>
              <w:rPr/>
              <w:t>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заявки, при этом первоначальная заявка должна быть отозвана.</w:t>
            </w:r>
          </w:p>
          <w:p>
            <w:pPr>
              <w:pStyle w:val="Normal"/>
              <w:rPr/>
            </w:pPr>
            <w:r>
              <w:rPr/>
              <w:t>В течение тридцати 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журнале заявок на участие в торгах, при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11.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Срок представления заявок на участие в торгах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Срок представления заявок на участие в открытых торгах составляет 25 рабочих дней со дня опубликования и размещения сообщения о проведении.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12.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Определение участников торгов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Не позднее тридцати 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заявок.</w:t>
            </w:r>
          </w:p>
          <w:p>
            <w:pPr>
              <w:pStyle w:val="Normal"/>
              <w:rPr/>
            </w:pPr>
            <w:r>
              <w:rPr/>
              <w:t>Организатор торгов посредством программно-аппаратных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подписания.</w:t>
            </w:r>
          </w:p>
          <w:p>
            <w:pPr>
              <w:pStyle w:val="Normal"/>
              <w:rPr/>
            </w:pPr>
            <w:r>
              <w:rPr/>
              <w:t>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 отказе в признании его участником торгов с указанием причин отказа с приложением копии протокола об определении участников торгов.</w:t>
            </w:r>
          </w:p>
          <w:p>
            <w:pPr>
              <w:pStyle w:val="Normal"/>
              <w:rPr/>
            </w:pPr>
            <w:r>
              <w:rPr/>
              <w:t>К участию в торгах допускаются заявители, представившие заявки на участие в торгах и прилагаемые к ним документы, которые соответствуют требованиям, указанным в сообщении о проведении торгов. Заявители, допущенные к участию в торгах, признаются участниками торгов.</w:t>
            </w:r>
          </w:p>
          <w:p>
            <w:pPr>
              <w:pStyle w:val="Normal"/>
              <w:rPr/>
            </w:pPr>
            <w:r>
              <w:rPr/>
              <w:t>Решение об отказе в допуске заявителя к участию в торгах принимается в случае, если:</w:t>
            </w:r>
          </w:p>
          <w:p>
            <w:pPr>
              <w:pStyle w:val="Normal"/>
              <w:rPr/>
            </w:pPr>
            <w:r>
              <w:rPr/>
              <w:t>- заявка на участие в торгах не соответствует требованиям, указанным в сообщении о проведении торгов;</w:t>
            </w:r>
          </w:p>
          <w:p>
            <w:pPr>
              <w:pStyle w:val="Normal"/>
              <w:rPr/>
            </w:pPr>
            <w:r>
              <w:rPr/>
              <w:t>- представленные заявителем документы не соответствуют установленным к ним требованиям или недостоверны;</w:t>
            </w:r>
          </w:p>
          <w:p>
            <w:pPr>
              <w:pStyle w:val="Normal"/>
              <w:rPr/>
            </w:pPr>
            <w:r>
              <w:rPr/>
              <w:t>-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13.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Порядок проведения торгов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 торгах могут принимать участие только лица, признанные участниками торгов. Торги проводятся на электронной площадке в день и время, указанные в сообщении о продаже.</w:t>
            </w:r>
          </w:p>
          <w:p>
            <w:pPr>
              <w:pStyle w:val="Normal"/>
              <w:rPr/>
            </w:pPr>
            <w:r>
              <w:rPr/>
              <w:t xml:space="preserve">Предложения о цене заявляются участниками торгов открыто и размещаются оператором электронной площадки на электронной площадке с указанием точного времени их поступления, а также времени, оставшегося до истечения срока представления таких предложений. </w:t>
            </w:r>
          </w:p>
          <w:p>
            <w:pPr>
              <w:pStyle w:val="Normal"/>
              <w:rPr/>
            </w:pPr>
            <w:r>
              <w:rPr/>
              <w:t>Торги проводятся путем повышения начальной цены продажи имущества на величину, равную "шагу аукциона".</w:t>
            </w:r>
          </w:p>
          <w:p>
            <w:pPr>
              <w:pStyle w:val="Normal"/>
              <w:rPr/>
            </w:pPr>
            <w:r>
              <w:rPr/>
              <w:t>Если в течение одного часа с момента начала представления предложений о цене не поступило ни одного предложения о цене, торги с помощью программно-аппаратных средств сайта завершаются автоматически, при этом представление и принятие предложений о цене прекращаются. 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предложений.</w:t>
            </w:r>
          </w:p>
          <w:p>
            <w:pPr>
              <w:pStyle w:val="Normal"/>
              <w:rPr/>
            </w:pPr>
            <w:r>
              <w:rPr/>
              <w:t>Если в течение тридцати минут после представления последнего предложения о цене (не учитывая отклоненных предложений о цене) не поступило следующее предложение, торги с помощью программно-аппаратных средств сайта завершаются автоматически.</w:t>
            </w:r>
          </w:p>
          <w:p>
            <w:pPr>
              <w:pStyle w:val="Normal"/>
              <w:rPr/>
            </w:pPr>
            <w:r>
              <w:rPr/>
              <w:t>Во время проведения торгов с помощью программно-аппаратных средств сайта предложение о цене в момент его поступления отклоняется с направлением лицу уведомления об отказе в приеме его предложения с указанием причин отказа в случае, если:</w:t>
            </w:r>
          </w:p>
          <w:p>
            <w:pPr>
              <w:pStyle w:val="Normal"/>
              <w:rPr/>
            </w:pPr>
            <w:r>
              <w:rPr/>
              <w:t>а) предложение о цене представлено по истечении установленного срока представления предложений о цене;</w:t>
            </w:r>
          </w:p>
          <w:p>
            <w:pPr>
              <w:pStyle w:val="Normal"/>
              <w:rPr/>
            </w:pPr>
            <w:r>
              <w:rPr/>
              <w:t>б) предложение о цене увеличено в размере, не равном "шагу аукциона", меньше или равно ранее представленному предложению о цене;</w:t>
            </w:r>
          </w:p>
          <w:p>
            <w:pPr>
              <w:pStyle w:val="Normal"/>
              <w:rPr/>
            </w:pPr>
            <w:r>
              <w:rPr/>
              <w:t>в) одним участником представлено второе предложение о цене подряд при отсутствии предложений других участников торгов.</w:t>
            </w:r>
          </w:p>
          <w:p>
            <w:pPr>
              <w:pStyle w:val="Normal"/>
              <w:rPr/>
            </w:pPr>
            <w:r>
              <w:rPr/>
              <w:t>Выигравшим аукцион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14.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Подведение результатов торгов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Не позднее тридцати минут с момента завершения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торгов.</w:t>
            </w:r>
          </w:p>
          <w:p>
            <w:pPr>
              <w:pStyle w:val="Normal"/>
              <w:rPr/>
            </w:pPr>
            <w:r>
              <w:rPr/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поступивший протокол о результатах проведения торгов не позднее одного часа после получения от оператора электронной площадки протокола.</w:t>
            </w:r>
          </w:p>
          <w:p>
            <w:pPr>
              <w:pStyle w:val="Normal"/>
              <w:rPr/>
            </w:pPr>
            <w:r>
              <w:rPr/>
              <w:t>Протокол о результатах проведения торгов размещается оператором электронной площадки на электронной площадке.</w:t>
            </w:r>
          </w:p>
          <w:p>
            <w:pPr>
              <w:pStyle w:val="Normal"/>
              <w:rPr/>
            </w:pPr>
            <w:r>
              <w:rPr/>
              <w:t>Не позднее тридцати минут после размещения на электронной площадке протокола организатор торгов посредством программно-аппаратных средств сайта направляет протокол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>
            <w:pPr>
              <w:pStyle w:val="Normal"/>
              <w:rPr/>
            </w:pPr>
            <w:r>
              <w:rPr/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>
            <w:pPr>
              <w:pStyle w:val="Normal"/>
              <w:rPr/>
            </w:pPr>
            <w:r>
              <w:rPr/>
              <w:t>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решения о признании торгов несостоявшимися не позднее тридцати минут с момента:</w:t>
            </w:r>
          </w:p>
          <w:p>
            <w:pPr>
              <w:pStyle w:val="Normal"/>
              <w:rPr/>
            </w:pPr>
            <w:r>
              <w:rPr/>
              <w:t>окончания срока представления заявок на участие в торгах при отсутствии заявок на участие в торгах;</w:t>
            </w:r>
          </w:p>
          <w:p>
            <w:pPr>
              <w:pStyle w:val="Normal"/>
              <w:rPr/>
            </w:pPr>
            <w:r>
              <w:rPr/>
              <w:t>получения от организатора торгов протокола об определении участников торгов, согласно которому к участию в торгах не допущен ни один заявитель или допущен только один участник.</w:t>
            </w:r>
          </w:p>
          <w:p>
            <w:pPr>
              <w:pStyle w:val="Normal"/>
              <w:rPr/>
            </w:pPr>
            <w:r>
              <w:rPr/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поступившее решение о признании торгов несостоявшимися не позднее одного часа после получения от оператора электронной площадки решения.</w:t>
            </w:r>
          </w:p>
          <w:p>
            <w:pPr>
              <w:pStyle w:val="Normal"/>
              <w:rPr/>
            </w:pPr>
            <w:r>
              <w:rPr/>
              <w:t>Решение о признании торгов несостоявшимися размещается оператором электронной площадки на электронной площадке.</w:t>
            </w:r>
          </w:p>
          <w:p>
            <w:pPr>
              <w:pStyle w:val="Normal"/>
              <w:rPr/>
            </w:pPr>
            <w:r>
              <w:rPr/>
              <w:t>Не позднее тридцати минут после размещения на электронной площадке решения организатор торгов посредством программно-аппаратных средств сайта направляет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  <w:p>
            <w:pPr>
              <w:pStyle w:val="Normal"/>
              <w:rPr/>
            </w:pPr>
            <w:r>
              <w:rPr/>
              <w:t>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15.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Порядок и срок заключения договора купли-продажи имущества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 течение пяти дней с даты утверждения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  <w:p>
            <w:pPr>
              <w:pStyle w:val="Normal"/>
              <w:rPr/>
            </w:pPr>
            <w:r>
              <w:rPr/>
              <w:t>Договор купли-продажи имущества должен быть заключен в течение пяти дней с даты получения победителем торгов предложения о заключении данного договора.</w:t>
            </w:r>
          </w:p>
          <w:p>
            <w:pPr>
              <w:pStyle w:val="Normal"/>
              <w:rPr/>
            </w:pPr>
            <w:r>
              <w:rPr/>
              <w:t>В случае отказа или уклонения победителя торгов от подписания договора купли-продажи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финансовый управляющий вправе предложить заключить договор купли-продажи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>
                <w:lang w:val="en-US"/>
              </w:rPr>
              <w:t>6</w:t>
            </w:r>
            <w:r>
              <w:rPr/>
              <w:t>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Условия возврата задатка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>
                <w:lang w:val="en-US"/>
              </w:rPr>
              <w:t>7</w:t>
            </w:r>
            <w:r>
              <w:rPr/>
              <w:t>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Условия оплаты имущества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Победитель торгов перечисляет денежные средства в оплату приобретенного имущества в течение тридцати дней со дня подписания договора купли-продажи имущества по реквизитам, указанным в публикациях о проведении торгов.</w:t>
            </w:r>
          </w:p>
          <w:p>
            <w:pPr>
              <w:pStyle w:val="Normal"/>
              <w:rPr/>
            </w:pPr>
            <w:r>
              <w:rPr/>
              <w:t>При заключении договора с лицом, выигравшим торги, сумма внесенного им задатка засчитывается в счет исполнения договора.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>
                <w:lang w:val="en-US"/>
              </w:rPr>
              <w:t>8</w:t>
            </w:r>
            <w:r>
              <w:rPr/>
              <w:t>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Оформление договора купли-продажи имущества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Обязательными условиями договора купли-продажи имущества являются:</w:t>
            </w:r>
          </w:p>
          <w:p>
            <w:pPr>
              <w:pStyle w:val="Normal"/>
              <w:rPr/>
            </w:pPr>
            <w:r>
              <w:rPr/>
              <w:t>сведения об имуществе, его составе, характеристиках, описание имущества;</w:t>
            </w:r>
          </w:p>
          <w:p>
            <w:pPr>
              <w:pStyle w:val="Normal"/>
              <w:rPr/>
            </w:pPr>
            <w:r>
              <w:rPr/>
              <w:t>цена продажи имущества;</w:t>
            </w:r>
          </w:p>
          <w:p>
            <w:pPr>
              <w:pStyle w:val="Normal"/>
              <w:rPr/>
            </w:pPr>
            <w:r>
              <w:rPr/>
              <w:t>порядок и срок передачи имущества покупателю;</w:t>
            </w:r>
          </w:p>
          <w:p>
            <w:pPr>
              <w:pStyle w:val="Normal"/>
              <w:rPr/>
            </w:pPr>
            <w:r>
              <w:rPr/>
              <w:t>сведения о наличии или об отсутствии обременении в отношении имущества, в том числе публичного сервитута;</w:t>
            </w:r>
          </w:p>
          <w:p>
            <w:pPr>
              <w:pStyle w:val="Normal"/>
              <w:rPr/>
            </w:pPr>
            <w:r>
              <w:rPr/>
              <w:t>иные предусмотренные законодательством Российской Федерации условия.</w:t>
            </w:r>
          </w:p>
          <w:p>
            <w:pPr>
              <w:pStyle w:val="Normal"/>
              <w:rPr/>
            </w:pPr>
            <w:r>
              <w:rPr/>
              <w:t xml:space="preserve">Передача имущества финансовым управляющим и принятие его покупателем осуществляются по передаточному акту, подписываемому сторонами и оформляемому в соответствии с </w:t>
            </w:r>
            <w:hyperlink r:id="rId2">
              <w:r>
                <w:rPr>
                  <w:rStyle w:val="InternetLink"/>
                  <w:color w:val="000000"/>
                </w:rPr>
                <w:t>законодательством</w:t>
              </w:r>
            </w:hyperlink>
            <w:r>
              <w:rPr/>
              <w:t xml:space="preserve"> Российской Федерации.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</w:t>
            </w:r>
            <w:r>
              <w:rPr>
                <w:lang w:val="en-US"/>
              </w:rPr>
              <w:t>9</w:t>
            </w:r>
            <w:r>
              <w:rPr/>
              <w:t>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Проведение повторных торгов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 случае признания торгов несостоявшимися и незаключения договора купли-продажи с единственным участником торгов, а также в случае незаключения договора купли-продажи имущества по результатам торгов финансовый управляющий в течение двух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 результатам торгов, принимает решение о проведении повторных торгов и об установлении начальной цены продажи имущества.</w:t>
            </w:r>
          </w:p>
          <w:p>
            <w:pPr>
              <w:pStyle w:val="Normal"/>
              <w:rPr/>
            </w:pPr>
            <w:r>
              <w:rPr/>
              <w:t>Повторные торги проводятся в соответствии с условиями проведения первоначальных торгов.</w:t>
            </w:r>
          </w:p>
          <w:p>
            <w:pPr>
              <w:pStyle w:val="Normal"/>
              <w:rPr/>
            </w:pPr>
            <w:r>
              <w:rPr/>
              <w:t>Начальная цена продажи имущества на повторных торгах устанавливается на десять процентов ниже начальной цены продажи имущества, установленной на первоначальных торгах.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>
                <w:lang w:val="en-US"/>
              </w:rPr>
              <w:t>20</w:t>
            </w:r>
            <w:r>
              <w:rPr/>
              <w:t>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Продажа имущества посредством публичного предложения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В случае, если повторные торги по продаже имущества должника признаны несостоявшимися или договор купли-продажи не был заключен с их единственным участником, а также в случае незаключения договора купли-продажи по результатам повторных торгов продаваемое на торгах имущество должника подлежит продаже посредством публичного предложения.</w:t>
            </w:r>
          </w:p>
          <w:p>
            <w:pPr>
              <w:pStyle w:val="Normal"/>
              <w:rPr/>
            </w:pPr>
            <w:r>
              <w:rPr/>
              <w:t xml:space="preserve">Торги в форме публичного предложения проводятся в соответствии с условиями проведения первоначальных торгов, за исключением особенностей, предусмотренных настоящим пунктом.  </w:t>
            </w:r>
          </w:p>
          <w:p>
            <w:pPr>
              <w:pStyle w:val="Normal"/>
              <w:rPr/>
            </w:pPr>
            <w:r>
              <w:rPr/>
              <w:t>Начальная цена продажи имущества устанавливается в размере начальной цены продажи имущества, установленной на повторных торгах.</w:t>
            </w:r>
          </w:p>
          <w:p>
            <w:pPr>
              <w:pStyle w:val="Normal"/>
              <w:rPr/>
            </w:pPr>
            <w:r>
              <w:rPr/>
              <w:t>Величина снижения начальной цены продажи имущества должника - 10 %.</w:t>
            </w:r>
          </w:p>
          <w:p>
            <w:pPr>
              <w:pStyle w:val="Normal"/>
              <w:rPr/>
            </w:pPr>
            <w:r>
              <w:rPr/>
              <w:t>Срок, по истечении которого последовательно снижается  начальная цена – каждые 7 календарных дней. Размер задатка – 20 % от начальной цены, установленной для соответствующего периода проведения торгов.</w:t>
            </w:r>
          </w:p>
          <w:p>
            <w:pPr>
              <w:pStyle w:val="Normal"/>
              <w:rPr/>
            </w:pPr>
            <w:r>
              <w:rPr/>
              <w:t>Сообщение о продаже имущества размещается на Едином федеральном реестре сведений о банкротстве за 7 дней до даты начала приема заявок на участие в торгах. В сообщении о продаже наряду со сведениями, указанными в пункте 9 настоящего Положения, указываются величина снижения начальной цены продажи имущества и срок, по истечении которого последовательно снижается указанная начальная цена.</w:t>
            </w:r>
          </w:p>
          <w:p>
            <w:pPr>
              <w:pStyle w:val="Normal"/>
              <w:rPr/>
            </w:pPr>
            <w:r>
              <w:rPr/>
              <w:t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  <w:p>
            <w:pPr>
              <w:pStyle w:val="Normal"/>
              <w:rPr/>
            </w:pPr>
            <w:r>
              <w:rPr/>
              <w:t xml:space="preserve">С даты определения победителя торгов по продаже имущества должника посредством публичного предложения прием заявок прекращается. </w:t>
            </w:r>
          </w:p>
          <w:p>
            <w:pPr>
              <w:pStyle w:val="Normal"/>
              <w:rPr/>
            </w:pPr>
            <w:r>
              <w:rPr/>
              <w:t>При участии в торгах посредством публичного предложения заявитель обязан обеспечить поступление задатка на счета, указанные в электронном сообщении о продаже, не позднее указанной в таком сообщении даты и времени окончания приема заявок на участие в торгах для соответствующего периода проведения торгов.</w:t>
            </w:r>
          </w:p>
          <w:p>
            <w:pPr>
              <w:pStyle w:val="Normal"/>
              <w:rPr/>
            </w:pPr>
            <w:r>
              <w:rPr/>
              <w:t>Заявки на участие в торгах, поступившие в течение определенного периода проведения торгов, рассматриваются только после рассмотрения заявок на участие в торгах, поступивших в течение предыдущего периода проведения торгов, если по результатам рассмотрения таких заявок не определен победитель торгов.</w:t>
            </w:r>
          </w:p>
          <w:p>
            <w:pPr>
              <w:pStyle w:val="Normal"/>
              <w:rPr/>
            </w:pPr>
            <w:r>
              <w:rPr/>
              <w:t>Определение участников торгов, проводимых в форме публичного предложения осуществляется в следующем порядке:</w:t>
            </w:r>
          </w:p>
          <w:p>
            <w:pPr>
              <w:pStyle w:val="Normal"/>
              <w:rPr/>
            </w:pPr>
            <w:r>
              <w:rPr/>
              <w:t>Оператор электронной 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тридцати минут после наступления одного из следующих случаев:</w:t>
            </w:r>
          </w:p>
          <w:p>
            <w:pPr>
              <w:pStyle w:val="Normal"/>
              <w:rPr/>
            </w:pPr>
            <w:r>
              <w:rPr/>
              <w:t xml:space="preserve">завершения торгов вследствие поступления от организатора торгов электронного сообщения о завершении торгов вследствие оставления </w:t>
            </w:r>
            <w:bookmarkStart w:id="0" w:name="_GoBack"/>
            <w:r>
              <w:rPr/>
              <w:t>конк</w:t>
            </w:r>
            <w:bookmarkEnd w:id="0"/>
            <w:r>
              <w:rPr/>
              <w:t>урсным кредитором предмета залога за собой;</w:t>
            </w:r>
          </w:p>
          <w:p>
            <w:pPr>
              <w:pStyle w:val="Normal"/>
              <w:rPr/>
            </w:pPr>
            <w:r>
              <w:rPr/>
              <w:t>окончания периода проведения торгов.</w:t>
            </w:r>
          </w:p>
          <w:p>
            <w:pPr>
              <w:pStyle w:val="Normal"/>
              <w:rPr/>
            </w:pPr>
            <w:r>
              <w:rPr/>
              <w:t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не позднее пяти календарных дней после наступления одного из следующих случаев:</w:t>
            </w:r>
          </w:p>
          <w:p>
            <w:pPr>
              <w:pStyle w:val="Normal"/>
              <w:rPr/>
            </w:pPr>
            <w:r>
              <w:rPr/>
              <w:t>завершения торгов вследствие оставления конкурсным кредитором предмета залога за собой;</w:t>
            </w:r>
          </w:p>
          <w:p>
            <w:pPr>
              <w:pStyle w:val="Normal"/>
              <w:rPr/>
            </w:pPr>
            <w:r>
              <w:rPr/>
              <w:t>окончания периода проведения торгов.</w:t>
            </w:r>
          </w:p>
          <w:p>
            <w:pPr>
              <w:pStyle w:val="Normal"/>
              <w:rPr/>
            </w:pPr>
            <w:r>
              <w:rPr/>
              <w:t>По результатам проведения торгов оператором электронной площадки с помощью программно-аппаратных средств сайта формируется и направляется организатору торгов в форме электронного сообщения проект протокола о результатах проведения торгов или решения о признании торгов несостоявшимися не позднее тридцати минут с момента:</w:t>
            </w:r>
          </w:p>
          <w:p>
            <w:pPr>
              <w:pStyle w:val="Normal"/>
              <w:rPr/>
            </w:pPr>
            <w:r>
              <w:rPr/>
              <w:t>получения от организатора торгов (по окончании любого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допущен хотя бы один участник;</w:t>
            </w:r>
          </w:p>
          <w:p>
            <w:pPr>
              <w:pStyle w:val="Normal"/>
              <w:rPr/>
            </w:pPr>
            <w:r>
              <w:rPr/>
              <w:t>получения от организатора торгов (по окончании последнего периода проведения торгов или по завершении торгов вследствие поступления электронного сообщения о завершении торгов вследствие оставления конкурсным кредитором предмета залога за собой) протокола об определении участников торгов, согласно которому к участию в торгах не допущен ни один заявитель на участие в торгах;</w:t>
            </w:r>
          </w:p>
          <w:p>
            <w:pPr>
              <w:pStyle w:val="Normal"/>
              <w:rPr/>
            </w:pPr>
            <w:r>
              <w:rPr/>
              <w:t>окончания последнего периода проведения торгов или завершения торгов вследствие поступления электронного сообщения о завершении торгов вследствие оставления конкурсным кредитором предмета залога за собой, при отсутствии заявок на участие в торгах.</w:t>
            </w:r>
          </w:p>
          <w:p>
            <w:pPr>
              <w:pStyle w:val="Normal"/>
              <w:rPr/>
            </w:pPr>
            <w:r>
              <w:rPr/>
              <w:t>Организатор торгов рассматривает, подписывает квалифицированной электронной подписью и направляет оператору электронной площадки поступившие протокол о результатах проведения торгов или решение о признании торгов несостоявшимися не позднее одного рабочего дня после получения от оператора электронной площадки соответствующих проектов протокола или решения.</w:t>
            </w:r>
          </w:p>
          <w:p>
            <w:pPr>
              <w:pStyle w:val="Normal"/>
              <w:rPr/>
            </w:pPr>
            <w:r>
              <w:rPr/>
              <w:t>Протокол о результатах проведения торгов или решение о признании торгов несостоявшимися размещаются оператором электронной площадки на электронной площадке.</w:t>
            </w:r>
          </w:p>
          <w:p>
            <w:pPr>
              <w:pStyle w:val="Normal"/>
              <w:rPr/>
            </w:pPr>
            <w:r>
              <w:rPr/>
              <w:t>Не позднее тридцати минут после размещения на электронной площадке указанных протокола или решения организатор торгов посредством программно-аппаратных средств сайта направляет такие протокол или решение в форме электронного сообщения всем участникам торгов, в том числе на адрес электронной почты, указанный в заявке на участие в торгах.</w:t>
            </w:r>
          </w:p>
        </w:tc>
      </w:tr>
      <w:tr>
        <w:trPr/>
        <w:tc>
          <w:tcPr>
            <w:tcW w:w="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center"/>
              <w:rPr>
                <w:lang w:val="en-US"/>
              </w:rPr>
            </w:pPr>
            <w:r>
              <w:rPr>
                <w:lang w:val="en-US"/>
              </w:rPr>
              <w:t>21.</w:t>
            </w:r>
          </w:p>
        </w:tc>
        <w:tc>
          <w:tcPr>
            <w:tcW w:w="20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>Нижний порог цены (цена отсечения)</w:t>
            </w:r>
          </w:p>
        </w:tc>
        <w:tc>
          <w:tcPr>
            <w:tcW w:w="7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/>
            </w:pPr>
            <w:r>
              <w:rPr/>
              <w:t xml:space="preserve">Нижний, наиболее меньший размер цены, по которой может продаваться имущество составляет 10 000 (десять тысяч) рублей. 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/>
      </w:pPr>
      <w:r>
        <w:rPr/>
        <w:t>Все иные условия проведения торгов про продаже имущества, не указанные в настоящем Положении, регулируются Федеральным законом «О несостоятельности (банкротстве)»,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</w:t>
      </w:r>
    </w:p>
    <w:p>
      <w:pPr>
        <w:pStyle w:val="Normal"/>
        <w:rPr>
          <w:vanish/>
          <w:sz w:val="20"/>
          <w:szCs w:val="20"/>
        </w:rPr>
      </w:pPr>
      <w:r>
        <w:rPr>
          <w:vanish/>
          <w:sz w:val="20"/>
          <w:szCs w:val="20"/>
        </w:rPr>
      </w:r>
    </w:p>
    <w:tbl>
      <w:tblPr>
        <w:tblW w:w="5000" w:type="pct"/>
        <w:jc w:val="left"/>
        <w:tblInd w:w="-45" w:type="dxa"/>
        <w:tblLayout w:type="fixed"/>
        <w:tblCellMar>
          <w:top w:w="45" w:type="dxa"/>
          <w:left w:w="45" w:type="dxa"/>
          <w:bottom w:w="45" w:type="dxa"/>
          <w:right w:w="45" w:type="dxa"/>
        </w:tblCellMar>
      </w:tblPr>
      <w:tblGrid>
        <w:gridCol w:w="4891"/>
        <w:gridCol w:w="138"/>
        <w:gridCol w:w="4892"/>
      </w:tblGrid>
      <w:tr>
        <w:trPr/>
        <w:tc>
          <w:tcPr>
            <w:tcW w:w="4891" w:type="dxa"/>
            <w:tcBorders/>
          </w:tcPr>
          <w:p>
            <w:pPr>
              <w:pStyle w:val="Style11"/>
              <w:spacing w:before="120" w:after="12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>
            <w:pPr>
              <w:pStyle w:val="Style11"/>
              <w:spacing w:before="120" w:after="120"/>
              <w:rPr>
                <w:b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Финансовый управляющий</w:t>
              <w:br/>
            </w:r>
          </w:p>
        </w:tc>
        <w:tc>
          <w:tcPr>
            <w:tcW w:w="138" w:type="dxa"/>
            <w:tcBorders/>
            <w:vAlign w:val="center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4892" w:type="dxa"/>
            <w:tcBorders/>
          </w:tcPr>
          <w:p>
            <w:pPr>
              <w:pStyle w:val="Style11"/>
              <w:spacing w:before="120" w:after="12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>
            <w:pPr>
              <w:pStyle w:val="Style11"/>
              <w:spacing w:before="120" w:after="120"/>
              <w:jc w:val="right"/>
              <w:rPr/>
            </w:pPr>
            <w:r>
              <w:rPr>
                <w:b/>
                <w:bCs/>
                <w:sz w:val="20"/>
                <w:szCs w:val="20"/>
              </w:rPr>
              <w:t>А.В. Савушкин</w:t>
            </w: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1134" w:right="851" w:gutter="0" w:header="0" w:top="851" w:footer="0" w:bottom="851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Calibri Light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60"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Heading1">
    <w:name w:val="Heading 1"/>
    <w:basedOn w:val="Normal"/>
    <w:next w:val="TextBody"/>
    <w:qFormat/>
    <w:pPr>
      <w:numPr>
        <w:ilvl w:val="0"/>
        <w:numId w:val="1"/>
      </w:numPr>
      <w:spacing w:before="280" w:after="280"/>
      <w:outlineLvl w:val="0"/>
    </w:pPr>
    <w:rPr>
      <w:kern w:val="2"/>
      <w:sz w:val="53"/>
      <w:szCs w:val="53"/>
    </w:rPr>
  </w:style>
  <w:style w:type="paragraph" w:styleId="Heading2">
    <w:name w:val="Heading 2"/>
    <w:basedOn w:val="Normal"/>
    <w:next w:val="TextBody"/>
    <w:qFormat/>
    <w:pPr>
      <w:numPr>
        <w:ilvl w:val="1"/>
        <w:numId w:val="1"/>
      </w:numPr>
      <w:spacing w:before="280" w:after="280"/>
      <w:outlineLvl w:val="1"/>
    </w:pPr>
    <w:rPr>
      <w:sz w:val="43"/>
      <w:szCs w:val="43"/>
    </w:rPr>
  </w:style>
  <w:style w:type="paragraph" w:styleId="Heading3">
    <w:name w:val="Heading 3"/>
    <w:basedOn w:val="Normal"/>
    <w:next w:val="TextBody"/>
    <w:qFormat/>
    <w:pPr>
      <w:numPr>
        <w:ilvl w:val="2"/>
        <w:numId w:val="1"/>
      </w:numPr>
      <w:spacing w:before="280" w:after="280"/>
      <w:outlineLvl w:val="2"/>
    </w:pPr>
    <w:rPr>
      <w:sz w:val="38"/>
      <w:szCs w:val="38"/>
    </w:rPr>
  </w:style>
  <w:style w:type="paragraph" w:styleId="Heading4">
    <w:name w:val="Heading 4"/>
    <w:basedOn w:val="Normal"/>
    <w:next w:val="TextBody"/>
    <w:qFormat/>
    <w:pPr>
      <w:numPr>
        <w:ilvl w:val="3"/>
        <w:numId w:val="1"/>
      </w:numPr>
      <w:spacing w:before="280" w:after="280"/>
      <w:outlineLvl w:val="3"/>
    </w:pPr>
    <w:rPr>
      <w:b/>
      <w:bCs/>
      <w:sz w:val="29"/>
      <w:szCs w:val="29"/>
    </w:rPr>
  </w:style>
  <w:style w:type="character" w:styleId="Style10">
    <w:name w:val="Основной шрифт абзаца"/>
    <w:qFormat/>
    <w:rPr/>
  </w:style>
  <w:style w:type="character" w:styleId="1">
    <w:name w:val="Заголовок 1 Знак"/>
    <w:qFormat/>
    <w:rPr>
      <w:rFonts w:ascii="Calibri Light" w:hAnsi="Calibri Light" w:eastAsia="Times New Roman" w:cs="Times New Roman"/>
      <w:color w:val="2E74B5"/>
      <w:sz w:val="32"/>
      <w:szCs w:val="32"/>
    </w:rPr>
  </w:style>
  <w:style w:type="character" w:styleId="2">
    <w:name w:val="Заголовок 2 Знак"/>
    <w:qFormat/>
    <w:rPr>
      <w:rFonts w:ascii="Calibri Light" w:hAnsi="Calibri Light" w:eastAsia="Times New Roman" w:cs="Times New Roman"/>
      <w:color w:val="2E74B5"/>
      <w:sz w:val="26"/>
      <w:szCs w:val="26"/>
    </w:rPr>
  </w:style>
  <w:style w:type="character" w:styleId="3">
    <w:name w:val="Заголовок 3 Знак"/>
    <w:qFormat/>
    <w:rPr>
      <w:rFonts w:ascii="Calibri Light" w:hAnsi="Calibri Light" w:eastAsia="Times New Roman" w:cs="Times New Roman"/>
      <w:color w:val="1F4D78"/>
      <w:sz w:val="24"/>
      <w:szCs w:val="24"/>
    </w:rPr>
  </w:style>
  <w:style w:type="character" w:styleId="4">
    <w:name w:val="Заголовок 4 Знак"/>
    <w:qFormat/>
    <w:rPr>
      <w:rFonts w:ascii="Calibri Light" w:hAnsi="Calibri Light" w:eastAsia="Times New Roman" w:cs="Times New Roman"/>
      <w:i/>
      <w:iCs/>
      <w:color w:val="2E74B5"/>
      <w:sz w:val="24"/>
      <w:szCs w:val="24"/>
    </w:rPr>
  </w:style>
  <w:style w:type="character" w:styleId="InternetLink">
    <w:name w:val="Hyperlink"/>
    <w:rPr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Style11">
    <w:name w:val="Обычный (веб)"/>
    <w:basedOn w:val="Normal"/>
    <w:qFormat/>
    <w:pPr>
      <w:spacing w:before="120" w:after="120"/>
    </w:pPr>
    <w:rPr/>
  </w:style>
  <w:style w:type="paragraph" w:styleId="Indent">
    <w:name w:val="indent"/>
    <w:basedOn w:val="Normal"/>
    <w:qFormat/>
    <w:pPr>
      <w:spacing w:before="120" w:after="120"/>
      <w:ind w:firstLine="708"/>
      <w:jc w:val="both"/>
    </w:pPr>
    <w:rPr/>
  </w:style>
  <w:style w:type="paragraph" w:styleId="Indnomrg">
    <w:name w:val="indnomrg"/>
    <w:basedOn w:val="Normal"/>
    <w:qFormat/>
    <w:pPr>
      <w:ind w:firstLine="708"/>
      <w:jc w:val="both"/>
    </w:pPr>
    <w:rPr/>
  </w:style>
  <w:style w:type="paragraph" w:styleId="Nomrg">
    <w:name w:val="nomrg"/>
    <w:basedOn w:val="Normal"/>
    <w:qFormat/>
    <w:pPr>
      <w:jc w:val="both"/>
    </w:pPr>
    <w:rPr/>
  </w:style>
  <w:style w:type="paragraph" w:styleId="Zagolovok6">
    <w:name w:val="zagolovok6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4"/>
      <w:szCs w:val="24"/>
      <w:lang w:val="ru-RU" w:bidi="ar-SA" w:eastAsia="zh-CN"/>
    </w:rPr>
  </w:style>
  <w:style w:type="paragraph" w:styleId="11">
    <w:name w:val="Обычный1"/>
    <w:qFormat/>
    <w:pPr>
      <w:widowControl/>
      <w:bidi w:val="0"/>
    </w:pPr>
    <w:rPr>
      <w:rFonts w:ascii="Times New Roman" w:hAnsi="Times New Roman" w:eastAsia="Times New Roman" w:cs="Times New Roman"/>
      <w:color w:val="auto"/>
      <w:sz w:val="20"/>
      <w:szCs w:val="20"/>
      <w:lang w:val="ru-RU" w:bidi="ar-SA" w:eastAsia="zh-CN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consultantplus://offline/ref=C170E87E5106903B2C2693164E83ABCA2276C913842C8ACC75FF6C560D0667AC2FE2ED39A0D15019R9r5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Application>LibreOffice/7.4.6.2$Linux_X86_64 LibreOffice_project/40$Build-2</Application>
  <AppVersion>15.0000</AppVersion>
  <Pages>10</Pages>
  <Words>3128</Words>
  <Characters>21739</Characters>
  <CharactersWithSpaces>24709</CharactersWithSpaces>
  <Paragraphs>185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2023-01-31T16:21:00Z</dcterms:created>
  <dc:creator>Usser</dc:creator>
  <dc:description/>
  <cp:keywords/>
  <dc:language>en-US</dc:language>
  <cp:lastModifiedBy>Usser</cp:lastModifiedBy>
  <cp:lastPrinted>2023-04-24T17:15:00Z</cp:lastPrinted>
  <dcterms:modified xsi:type="dcterms:W3CDTF">2023-04-24T16:18:00Z</dcterms:modified>
  <cp:revision>28</cp:revision>
  <dc:subject/>
  <dc:title>Положение о прямой продаже</dc:title>
</cp:coreProperties>
</file>