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tbl>
      <w:tblPr>
        <w:tblStyle w:val="TableStyle0"/>
        <w:tblW w:w="10395" w:type="dxa"/>
        <w:jc w:val="left"/>
        <w:tblInd w:w="0" w:type="dxa"/>
        <w:tblLayout w:type="fixed"/>
        <w:tblCellMar>
          <w:top w:w="0" w:type="dxa"/>
          <w:left w:w="0" w:type="dxa"/>
          <w:bottom w:w="0" w:type="dxa"/>
          <w:right w:w="0" w:type="dxa"/>
        </w:tblCellMar>
        <w:tblLook w:val="04a0"/>
      </w:tblPr>
      <w:tblGrid>
        <w:gridCol w:w="944"/>
        <w:gridCol w:w="945"/>
        <w:gridCol w:w="945"/>
        <w:gridCol w:w="945"/>
        <w:gridCol w:w="945"/>
        <w:gridCol w:w="946"/>
        <w:gridCol w:w="945"/>
        <w:gridCol w:w="945"/>
        <w:gridCol w:w="945"/>
        <w:gridCol w:w="945"/>
        <w:gridCol w:w="943"/>
      </w:tblGrid>
      <w:tr>
        <w:trPr>
          <w:trHeight w:val="315"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ДОГОВОР</w:t>
            </w:r>
          </w:p>
        </w:tc>
      </w:tr>
      <w:tr>
        <w:trPr>
          <w:trHeight w:val="270"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купли-продажи</w:t>
            </w:r>
          </w:p>
        </w:tc>
      </w:tr>
      <w:tr>
        <w:trPr>
          <w:trHeight w:val="270" w:hRule="exact"/>
        </w:trPr>
        <w:tc>
          <w:tcPr>
            <w:tcW w:w="9450" w:type="dxa"/>
            <w:gridSpan w:val="10"/>
            <w:tcBorders/>
            <w:shd w:color="FFFFFF" w:fill="auto" w:val="clear"/>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14.03.2023</w:t>
            </w:r>
          </w:p>
        </w:tc>
        <w:tc>
          <w:tcPr>
            <w:tcW w:w="943" w:type="dxa"/>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16"/>
                <w:szCs w:val="20"/>
              </w:rPr>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Мы, нижеподписавшиеся:</w:t>
            </w:r>
          </w:p>
        </w:tc>
      </w:tr>
      <w:tr>
        <w:trPr>
          <w:trHeight w:val="145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 xml:space="preserve">Гражданин РФ Волков Дмитрий Андреевич (25.02.1983г.р., место рожд: г.Вологда , адрес рег: 160025, Вологодская обл, Вологда г, Одесская ул, дом № 8, квартира 11, СНИЛС07864614607, ИНН 352515754436, паспорт РФ серия 1904, номер 166511, выдан 11.02.2004, кем выдан УВД Г. Вологды Вологодской области, код подразделения 352-001), в лице Гражданина РФ Финансового управляющего Шуховцева Алексея Алексеевича (ИНН 745303758710, СНИЛС 06716445979, рег.номер 20205), действующего на основании решения Арбитражного суда Вологодской области от 25.10.2022г. по делу №А13-12399/2022, именуемый в дальнейшем «Продавец», с одной стороны, и </w:t>
            </w:r>
          </w:p>
        </w:tc>
      </w:tr>
      <w:tr>
        <w:trPr>
          <w:trHeight w:val="49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Гражданин РФ  , именуемый в дальнейшем «Покупатель» с другой стороны, а совместно именуемые «Стороны», заключили настоящий договор о нижеследующем,</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1.  Предмет договора</w:t>
            </w:r>
          </w:p>
        </w:tc>
      </w:tr>
      <w:tr>
        <w:trPr>
          <w:trHeight w:val="97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1.1.  В соответствии с Протоколом №  от 19.04.2023г.   по продаже имущества Волкова Дмитрия Андреевича, размещенным на сайте ЭП ООО «Новые информационные сервисы» (https://nistp.ru/) (далее по тексту – "Протокол"), Продавец обязуется передать в собственность Покупателя, признанного Победителем указанных торгов, имущество, выигранное на этих торгах, а именно:</w:t>
            </w:r>
          </w:p>
        </w:tc>
      </w:tr>
      <w:tr>
        <w:trPr>
          <w:trHeight w:val="495" w:hRule="exact"/>
        </w:trPr>
        <w:tc>
          <w:tcPr>
            <w:tcW w:w="10393" w:type="dxa"/>
            <w:gridSpan w:val="11"/>
            <w:tcBorders/>
            <w:shd w:color="FFFFFF" w:fill="FFFFFF"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ЛОТ №2 - Квартира, площадь: 120,5м², адрес (местонахождение): 160025, Вологодская обл, Вологда г, Одесская ул, дом № 8, квартира 11, кадастровый номер: 35:24:0503002:2779</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Право собственности зарегистрировано в установленном законом порядке (далее по тексту - «Имущество»).</w:t>
            </w:r>
          </w:p>
        </w:tc>
      </w:tr>
      <w:tr>
        <w:trPr>
          <w:trHeight w:val="49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1.2. На момент составления Договора купли-продажи на вышеуказанном имуществе обременения/ограничения отсутствуют.</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2. Обязанности Сторон</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2.1. Продавец обязуется:</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2.1.1. Передать Покупателю имущество по акту приема-передачи.</w:t>
            </w:r>
          </w:p>
        </w:tc>
      </w:tr>
      <w:tr>
        <w:trPr>
          <w:trHeight w:val="73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2.1.2. Передать Покупателю по акту приема-передачи, все необходимые документы для регистрации перехода права собственности на выигранное на открытых торгах имущество, в течение 30 (тридцати) рабочих дней с момента поступления на расчетный счет Продавца денежных средств в соответствии с настоящим договором.</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2.2. Покупатель обязан:</w:t>
            </w:r>
          </w:p>
        </w:tc>
      </w:tr>
      <w:tr>
        <w:trPr>
          <w:trHeight w:val="285" w:hRule="exact"/>
        </w:trPr>
        <w:tc>
          <w:tcPr>
            <w:tcW w:w="10393" w:type="dxa"/>
            <w:gridSpan w:val="11"/>
            <w:tcBorders/>
            <w:shd w:color="FFFFFF" w:fill="auto" w:val="clear"/>
            <w:vAlign w:val="bottom"/>
          </w:tcPr>
          <w:p>
            <w:pPr>
              <w:pStyle w:val="Normal"/>
              <w:widowControl w:val="false"/>
              <w:bidi w:val="0"/>
              <w:spacing w:lineRule="auto" w:line="240" w:before="0" w:after="0"/>
              <w:jc w:val="left"/>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2.2.1. Оплатить полную стоимость имущества в соответствии с настоящим договором.</w:t>
            </w:r>
          </w:p>
        </w:tc>
      </w:tr>
      <w:tr>
        <w:trPr>
          <w:trHeight w:val="49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2.2.2. В течение 30 (тридцати) рабочих дней со дня исполнения всех своих обязательств, предусмотренных настоящим договором, принять от Продавца имущество по акту приема-передачи.</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3. Цена и порядок расчетов</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left"/>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3.1. Стоимость имущества составляет:</w:t>
            </w:r>
          </w:p>
        </w:tc>
      </w:tr>
      <w:tr>
        <w:trPr>
          <w:trHeight w:val="97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0 (Ноль рублей 00 копеек) без учета НДС (подпункт 15 п.2 ст.146 НК), Задаток, оплаченный Покупателем, составляет 0 (Ноль рублей 00 копеек), итоговая сумма оплаты Покупателем составляет 0 (Ноль рублей 00 копеек). Цена настоящего договора установлена по результатам проведения торгов, которые проводились 19.04.2023г. на сайте (https://nistp.ru/) и указана в Протоколе  от 19.04.2023г. является окончательной и изменению не подлежит.</w:t>
            </w:r>
          </w:p>
        </w:tc>
      </w:tr>
      <w:tr>
        <w:trPr>
          <w:trHeight w:val="52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3.2. Расходы по переходу права собственности и иные, не указанные в настоящем договоре возможные расходы, необходимые для исполнения договорных обязательств, несет Покупатель.</w:t>
            </w:r>
          </w:p>
        </w:tc>
      </w:tr>
      <w:tr>
        <w:trPr>
          <w:trHeight w:val="49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 xml:space="preserve">3.3. Оплата стоимости имущества по настоящему договору осуществляется Покупателем безналичным платежом на расчетный счет:  </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left"/>
              <w:rPr>
                <w:rFonts w:ascii="Times New Roman" w:hAnsi="Times New Roman"/>
                <w:sz w:val="20"/>
                <w:szCs w:val="20"/>
              </w:rPr>
            </w:pPr>
            <w:r>
              <w:rPr>
                <w:rFonts w:ascii="Times New Roman" w:hAnsi="Times New Roman"/>
                <w:kern w:val="0"/>
                <w:sz w:val="20"/>
                <w:szCs w:val="20"/>
              </w:rPr>
              <w:t>Получатель: Арбитражный управляющий Шуховцев Алексей Алексеевич (ИНН 745303758710)</w:t>
            </w:r>
          </w:p>
        </w:tc>
      </w:tr>
      <w:tr>
        <w:trPr>
          <w:trHeight w:val="975" w:hRule="exact"/>
        </w:trPr>
        <w:tc>
          <w:tcPr>
            <w:tcW w:w="10393" w:type="dxa"/>
            <w:gridSpan w:val="11"/>
            <w:tcBorders/>
            <w:shd w:color="FFFFFF" w:fill="auto" w:val="clear"/>
            <w:vAlign w:val="bottom"/>
          </w:tcPr>
          <w:p>
            <w:pPr>
              <w:pStyle w:val="Normal"/>
              <w:widowControl w:val="false"/>
              <w:bidi w:val="0"/>
              <w:spacing w:lineRule="auto" w:line="240" w:before="0" w:after="0"/>
              <w:jc w:val="left"/>
              <w:rPr>
                <w:rFonts w:ascii="Times New Roman" w:hAnsi="Times New Roman"/>
                <w:sz w:val="20"/>
                <w:szCs w:val="20"/>
              </w:rPr>
            </w:pPr>
            <w:r>
              <w:rPr>
                <w:rFonts w:ascii="Times New Roman" w:hAnsi="Times New Roman"/>
                <w:kern w:val="0"/>
                <w:sz w:val="20"/>
                <w:szCs w:val="20"/>
              </w:rPr>
              <w:t>Р/СЧ 40802810972000066742</w:t>
              <w:br/>
              <w:t>БИК 047501602</w:t>
              <w:br/>
              <w:t>КР/СЧ 30101810700000000602</w:t>
              <w:br/>
              <w:t>НАИМЕНОВАНИЕ БАНКА ЧЕЛЯБИНСКОЕ ОСБ N 8597,</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left"/>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в течение тридцати дней с даты подписания настоящего договора.</w:t>
            </w:r>
          </w:p>
        </w:tc>
      </w:tr>
      <w:tr>
        <w:trPr>
          <w:trHeight w:val="73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Моментом надлежащей оплаты по настоящему договору считать момент перечисления банком Покупателя либо банком-корреспондентом предусмотренных настоящим договором сумм в банк Продавца для их дальнейшего зачисления на счет Продавца.</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4. Передача имущества и переход риска случайной гибели имущества</w:t>
            </w:r>
          </w:p>
        </w:tc>
      </w:tr>
      <w:tr>
        <w:trPr>
          <w:trHeight w:val="93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4.1. Продавец в течение 30 (тридцати) рабочих дней со дня исполнения Покупателем всех своих обязательств, предусмотренных настоящим договором, обязан передать Покупателю имущество. Передача имущества осуществляется посредством подписания Сторонами акта приема-передачи. Момент подписания акта приема-передачи является моментом передачи имущества Покупателю.</w:t>
            </w:r>
          </w:p>
        </w:tc>
      </w:tr>
      <w:tr>
        <w:trPr>
          <w:trHeight w:val="69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4.2. Стороны договора определили, что Продавец осуществляет подготовку имущества к передаче его Покупателю, в том числе составление и представление на подписание акта приема-передачи. Указанные действия осуществляются Продавцом своими силами и за свой счет.</w:t>
            </w:r>
          </w:p>
        </w:tc>
      </w:tr>
      <w:tr>
        <w:trPr>
          <w:trHeight w:val="79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4.3. Имущество, полагают Стороны договора, будет считаться переданным от Продавца Покупателю с момента подписания акта приема-передачи обеими Сторонами договора. С этого момента на Покупателя переходит риск случайной гибели или случайного повреждения имущества, переданного Покупателю.</w:t>
            </w:r>
          </w:p>
        </w:tc>
      </w:tr>
      <w:tr>
        <w:trPr>
          <w:trHeight w:val="285"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5. Возникновение права собственности</w:t>
            </w:r>
          </w:p>
        </w:tc>
      </w:tr>
      <w:tr>
        <w:trPr>
          <w:trHeight w:val="58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5.1. Право собственности на имущество переходит от Продавца к Покупателю в момент государственной регистрации права собственности.</w:t>
            </w:r>
          </w:p>
        </w:tc>
      </w:tr>
      <w:tr>
        <w:trPr>
          <w:trHeight w:val="285"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6. Ответственность Сторон</w:t>
            </w:r>
          </w:p>
        </w:tc>
      </w:tr>
      <w:tr>
        <w:trPr>
          <w:trHeight w:val="51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6.1. Любая из Сторон настоящего договора, не исполнившая обязательства по договору или исполнившая их ненадлежащим образом, несет ответственность за упомянутое при наличии вины (умысла или неосторожности).</w:t>
            </w:r>
          </w:p>
        </w:tc>
      </w:tr>
      <w:tr>
        <w:trPr>
          <w:trHeight w:val="52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6.2. Отсутствие вины за неисполнение или ненадлежащее исполнение обязательств по договору доказывается Стороной, нарушившей обязательства.</w:t>
            </w:r>
          </w:p>
        </w:tc>
      </w:tr>
      <w:tr>
        <w:trPr>
          <w:trHeight w:val="222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6.3. Сторона, не исполнившая или ненадлежащим образом исполнившая свои обязательства по договору при выполнении его условий, несет ответственность, если не докажет, что надлежащее исполнение обязательств оказалось невозможным вследствие непреодолимой силы (форс-мажор), т. е. чрезвычайных и непредотвратимых обстоятельств при конкретных условиях конкретного периода времени. К обстоятельствам непреодолимой силы Стороны настоящего договора отнесли такие: явления стихийного характера (землетрясение, наводнение, удар молнии, извержение вулкана, сель, оползень, цунами и т. п.), температуру, силу ветра и уровень осадков в месте исполнения обязательств по договору, исключающих для человека нормальную жизнедеятельность; мораторий органов власти и управления; забастовки, организованные в установленном законом порядке, и другие обстоятельства, которые могут быть определены Сторонами договора как непреодолимая сила для надлежащего исполнения обязательств.</w:t>
            </w:r>
          </w:p>
        </w:tc>
      </w:tr>
      <w:tr>
        <w:trPr>
          <w:trHeight w:val="285"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7. Порядок разрешения споров</w:t>
            </w:r>
          </w:p>
        </w:tc>
      </w:tr>
      <w:tr>
        <w:trPr>
          <w:trHeight w:val="54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7.1. Споры, вытекающие из настоящего Договора, подлежат рассмотрению в арбитражном суде в порядке, предусмотренном действующим законодательством РФ.</w:t>
            </w:r>
          </w:p>
        </w:tc>
      </w:tr>
      <w:tr>
        <w:trPr>
          <w:trHeight w:val="285"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8. Условия изменения и расторжения договора</w:t>
            </w:r>
          </w:p>
        </w:tc>
      </w:tr>
      <w:tr>
        <w:trPr>
          <w:trHeight w:val="58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8.1. Расторжение настоящего договора осуществляется в порядке, предусмотренном законодательством Российской Федерации, без возврата внесенного задатка.</w:t>
            </w:r>
          </w:p>
        </w:tc>
      </w:tr>
      <w:tr>
        <w:trPr>
          <w:trHeight w:val="75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8.2. Если покупатель в нарушение договора купли-продажи отказывается принять и оплатить товар, продавец вправе по своему выбору потребовать оплаты товара либо отказаться от исполнения договора.  (п. 4 ст. 486 Гражданского Кодекса Российской Федерации).</w:t>
              <w:br/>
            </w:r>
          </w:p>
        </w:tc>
      </w:tr>
      <w:tr>
        <w:trPr>
          <w:trHeight w:val="99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8.3. Право на односторонний отказ от договора (исполнения договора) (статья 310 Гражданского Кодекса Российской Федерации) может быть осуществлено управомоченной стороной путем уведомления другой стороны об отказе от договора (исполнения договора). Договор прекращается с момента получения данного уведомления, если иное не предусмотрено настоящим Кодексом, другими законами, иными правовыми актами или договором.</w:t>
              <w:br/>
            </w:r>
          </w:p>
        </w:tc>
      </w:tr>
      <w:tr>
        <w:trPr>
          <w:trHeight w:val="93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В случае одностороннего отказа от договора (исполнения договора) полностью или частично, если такой отказ допускается, договор считается расторгнутым или измененным. (пп. 1, 2 Статья 450.1. Гражданского Кодекса Российской Федерации).</w:t>
              <w:br/>
              <w:br/>
            </w:r>
          </w:p>
        </w:tc>
      </w:tr>
      <w:tr>
        <w:trPr>
          <w:trHeight w:val="285"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9. Заключительные положения</w:t>
            </w:r>
          </w:p>
        </w:tc>
      </w:tr>
      <w:tr>
        <w:trPr>
          <w:trHeight w:val="58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9.1. Настоящий договор вступает в силу с момента его подписания и действует до момента окончания исполнения Сторонами договора своих обязательств по нему.</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9.2. Сторонами договора рассмотрены все документы, подготовленные в связи с продажей имущества.</w:t>
            </w:r>
          </w:p>
        </w:tc>
      </w:tr>
      <w:tr>
        <w:trPr>
          <w:trHeight w:val="27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9.3. Настоящий Договор составлен в 2-х экземплярах, имеющих одинаковую юридическую силу.</w:t>
            </w:r>
          </w:p>
        </w:tc>
      </w:tr>
      <w:tr>
        <w:trPr>
          <w:trHeight w:val="99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9.4. По всем вопросам, не нашедшим решения в условиях настоящего договора, но прямо или косвенно вытекающим из отношений Сторон по нему, затрагивающих имущественные интересы и деловую репутацию Сторон настоящего договора, имея в виду необходимости защиты их охраняемых законом прав и интересов, Стороны настоящего договора будут руководствоваться нормами и положениями действующего законодательства Российской Федерации.</w:t>
            </w:r>
          </w:p>
        </w:tc>
      </w:tr>
      <w:tr>
        <w:trPr>
          <w:trHeight w:val="285"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10. Реквизиты и подписи Сторон</w:t>
            </w:r>
          </w:p>
        </w:tc>
      </w:tr>
      <w:tr>
        <w:trPr>
          <w:trHeight w:val="285" w:hRule="exact"/>
        </w:trPr>
        <w:tc>
          <w:tcPr>
            <w:tcW w:w="4724" w:type="dxa"/>
            <w:gridSpan w:val="5"/>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Продавец:</w:t>
            </w:r>
          </w:p>
        </w:tc>
        <w:tc>
          <w:tcPr>
            <w:tcW w:w="5669" w:type="dxa"/>
            <w:gridSpan w:val="6"/>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Покупатель:</w:t>
            </w:r>
          </w:p>
        </w:tc>
      </w:tr>
      <w:tr>
        <w:trPr>
          <w:trHeight w:val="285" w:hRule="exact"/>
        </w:trPr>
        <w:tc>
          <w:tcPr>
            <w:tcW w:w="4724" w:type="dxa"/>
            <w:gridSpan w:val="5"/>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Гражданин РФ</w:t>
            </w:r>
          </w:p>
        </w:tc>
        <w:tc>
          <w:tcPr>
            <w:tcW w:w="5669" w:type="dxa"/>
            <w:gridSpan w:val="6"/>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Гражданин РФ</w:t>
            </w:r>
          </w:p>
        </w:tc>
      </w:tr>
      <w:tr>
        <w:trPr>
          <w:trHeight w:val="1695" w:hRule="exact"/>
        </w:trPr>
        <w:tc>
          <w:tcPr>
            <w:tcW w:w="4724" w:type="dxa"/>
            <w:gridSpan w:val="5"/>
            <w:tcBorders/>
            <w:shd w:color="FFFFFF" w:fill="auto" w:val="clear"/>
            <w:vAlign w:val="bottom"/>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20"/>
                <w:szCs w:val="20"/>
              </w:rPr>
              <w:t>Волков Дмитрий Андреевич (25.02.1983г.р., место рожд: г.Вологда , адрес рег: 160025, Вологодская обл, Вологда г, Одесская ул, дом № 8, квартира 11, СНИЛС07864614607, ИНН 352515754436, паспорт РФ серия 1904, номер 166511, выдан 11.02.2004, кем выдан УВД Г. Вологды Вологодской области, код подразделения 352-001)</w:t>
            </w:r>
          </w:p>
        </w:tc>
        <w:tc>
          <w:tcPr>
            <w:tcW w:w="5669" w:type="dxa"/>
            <w:gridSpan w:val="6"/>
            <w:vMerge w:val="restart"/>
            <w:tcBorders/>
            <w:shd w:color="FFFFFF" w:fill="auto" w:val="clear"/>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16"/>
                <w:szCs w:val="20"/>
              </w:rPr>
            </w:r>
          </w:p>
        </w:tc>
      </w:tr>
      <w:tr>
        <w:trPr>
          <w:trHeight w:val="300" w:hRule="exact"/>
        </w:trPr>
        <w:tc>
          <w:tcPr>
            <w:tcW w:w="4724" w:type="dxa"/>
            <w:gridSpan w:val="5"/>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Реквизиты</w:t>
            </w:r>
          </w:p>
        </w:tc>
        <w:tc>
          <w:tcPr>
            <w:tcW w:w="5669" w:type="dxa"/>
            <w:gridSpan w:val="6"/>
            <w:vMerge w:val="continue"/>
            <w:tcBorders/>
            <w:shd w:color="FFFFFF" w:fill="auto" w:val="clear"/>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16"/>
                <w:szCs w:val="20"/>
              </w:rPr>
            </w:r>
          </w:p>
        </w:tc>
      </w:tr>
      <w:tr>
        <w:trPr>
          <w:trHeight w:val="495" w:hRule="exact"/>
        </w:trPr>
        <w:tc>
          <w:tcPr>
            <w:tcW w:w="4724" w:type="dxa"/>
            <w:gridSpan w:val="5"/>
            <w:tcBorders/>
            <w:shd w:color="FFFFFF" w:fill="auto" w:val="clear"/>
            <w:vAlign w:val="bottom"/>
          </w:tcPr>
          <w:p>
            <w:pPr>
              <w:pStyle w:val="Normal"/>
              <w:widowControl w:val="false"/>
              <w:bidi w:val="0"/>
              <w:spacing w:lineRule="auto" w:line="240" w:before="0" w:after="0"/>
              <w:jc w:val="left"/>
              <w:rPr>
                <w:rFonts w:ascii="Times New Roman" w:hAnsi="Times New Roman"/>
                <w:sz w:val="20"/>
                <w:szCs w:val="20"/>
              </w:rPr>
            </w:pPr>
            <w:r>
              <w:rPr>
                <w:rFonts w:ascii="Times New Roman" w:hAnsi="Times New Roman"/>
                <w:kern w:val="0"/>
                <w:sz w:val="20"/>
                <w:szCs w:val="20"/>
              </w:rPr>
              <w:t>Арбитражный управляющий Шуховцев Алексей Алексеевич (ИНН 745303758710)</w:t>
            </w:r>
          </w:p>
        </w:tc>
        <w:tc>
          <w:tcPr>
            <w:tcW w:w="5669" w:type="dxa"/>
            <w:gridSpan w:val="6"/>
            <w:vMerge w:val="continue"/>
            <w:tcBorders/>
            <w:shd w:color="FFFFFF" w:fill="auto" w:val="clear"/>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16"/>
                <w:szCs w:val="20"/>
              </w:rPr>
            </w:r>
          </w:p>
        </w:tc>
      </w:tr>
      <w:tr>
        <w:trPr>
          <w:trHeight w:val="1215" w:hRule="exact"/>
        </w:trPr>
        <w:tc>
          <w:tcPr>
            <w:tcW w:w="4724" w:type="dxa"/>
            <w:gridSpan w:val="5"/>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Р/СЧ 40802810972000066742</w:t>
              <w:br/>
              <w:t>БИК 047501602</w:t>
              <w:br/>
              <w:t>КР/СЧ 30101810700000000602</w:t>
              <w:br/>
              <w:t>НАИМЕНОВАНИЕ БАНКА ЧЕЛЯБИНСКОЕ ОСБ N 8597</w:t>
            </w:r>
          </w:p>
        </w:tc>
        <w:tc>
          <w:tcPr>
            <w:tcW w:w="5669" w:type="dxa"/>
            <w:gridSpan w:val="6"/>
            <w:vMerge w:val="continue"/>
            <w:tcBorders/>
            <w:shd w:color="FFFFFF" w:fill="auto" w:val="clear"/>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16"/>
                <w:szCs w:val="20"/>
              </w:rPr>
            </w:r>
          </w:p>
        </w:tc>
      </w:tr>
      <w:tr>
        <w:trPr>
          <w:trHeight w:val="300" w:hRule="exact"/>
        </w:trPr>
        <w:tc>
          <w:tcPr>
            <w:tcW w:w="944" w:type="dxa"/>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16"/>
                <w:szCs w:val="20"/>
              </w:rPr>
            </w:r>
          </w:p>
        </w:tc>
        <w:tc>
          <w:tcPr>
            <w:tcW w:w="5669" w:type="dxa"/>
            <w:gridSpan w:val="6"/>
            <w:vMerge w:val="continue"/>
            <w:tcBorders/>
            <w:shd w:color="FFFFFF" w:fill="auto" w:val="clear"/>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16"/>
                <w:szCs w:val="20"/>
              </w:rPr>
            </w:r>
          </w:p>
        </w:tc>
      </w:tr>
      <w:tr>
        <w:trPr>
          <w:trHeight w:val="300" w:hRule="exact"/>
        </w:trPr>
        <w:tc>
          <w:tcPr>
            <w:tcW w:w="944" w:type="dxa"/>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16"/>
                <w:szCs w:val="20"/>
              </w:rPr>
            </w:r>
          </w:p>
        </w:tc>
        <w:tc>
          <w:tcPr>
            <w:tcW w:w="5669" w:type="dxa"/>
            <w:gridSpan w:val="6"/>
            <w:vMerge w:val="continue"/>
            <w:tcBorders/>
            <w:shd w:color="FFFFFF" w:fill="auto" w:val="clear"/>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16"/>
                <w:szCs w:val="20"/>
              </w:rPr>
            </w:r>
          </w:p>
        </w:tc>
      </w:tr>
      <w:tr>
        <w:trPr>
          <w:trHeight w:val="300" w:hRule="exact"/>
        </w:trPr>
        <w:tc>
          <w:tcPr>
            <w:tcW w:w="4724" w:type="dxa"/>
            <w:gridSpan w:val="5"/>
            <w:tcBorders/>
            <w:shd w:color="FFFFFF" w:fill="auto" w:val="clear"/>
            <w:vAlign w:val="bottom"/>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20"/>
                <w:szCs w:val="20"/>
              </w:rPr>
              <w:t>Финансовый управляющий</w:t>
            </w:r>
          </w:p>
        </w:tc>
        <w:tc>
          <w:tcPr>
            <w:tcW w:w="946"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3"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r>
      <w:tr>
        <w:trPr>
          <w:trHeight w:val="300" w:hRule="exact"/>
        </w:trPr>
        <w:tc>
          <w:tcPr>
            <w:tcW w:w="4724" w:type="dxa"/>
            <w:gridSpan w:val="5"/>
            <w:tcBorders/>
            <w:shd w:color="FFFFFF" w:fill="auto" w:val="clear"/>
            <w:vAlign w:val="bottom"/>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20"/>
                <w:szCs w:val="20"/>
              </w:rPr>
              <w:t>Волкова Дмитрия Андреевича</w:t>
            </w:r>
          </w:p>
        </w:tc>
        <w:tc>
          <w:tcPr>
            <w:tcW w:w="946"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3"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r>
      <w:tr>
        <w:trPr>
          <w:trHeight w:val="300" w:hRule="exact"/>
        </w:trPr>
        <w:tc>
          <w:tcPr>
            <w:tcW w:w="944" w:type="dxa"/>
            <w:tcBorders/>
            <w:shd w:color="FFFFFF" w:fill="auto" w:val="clear"/>
            <w:vAlign w:val="bottom"/>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6"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3"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r>
      <w:tr>
        <w:trPr>
          <w:trHeight w:val="360" w:hRule="exact"/>
        </w:trPr>
        <w:tc>
          <w:tcPr>
            <w:tcW w:w="2834" w:type="dxa"/>
            <w:gridSpan w:val="3"/>
            <w:tcBorders/>
            <w:shd w:color="FFFFFF" w:fill="auto" w:val="clear"/>
            <w:vAlign w:val="bottom"/>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20"/>
                <w:szCs w:val="20"/>
              </w:rPr>
              <w:t>Шуховцев Алексей Алексеевич</w:t>
            </w:r>
          </w:p>
        </w:tc>
        <w:tc>
          <w:tcPr>
            <w:tcW w:w="1890" w:type="dxa"/>
            <w:gridSpan w:val="2"/>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22"/>
                <w:szCs w:val="22"/>
              </w:rPr>
              <w:t>______________</w:t>
            </w:r>
          </w:p>
        </w:tc>
        <w:tc>
          <w:tcPr>
            <w:tcW w:w="5669" w:type="dxa"/>
            <w:gridSpan w:val="6"/>
            <w:tcBorders/>
            <w:shd w:color="FFFFFF" w:fill="auto" w:val="clear"/>
            <w:vAlign w:val="bottom"/>
          </w:tcPr>
          <w:p>
            <w:pPr>
              <w:pStyle w:val="Normal"/>
              <w:widowControl w:val="false"/>
              <w:bidi w:val="0"/>
              <w:spacing w:lineRule="auto" w:line="240" w:before="0" w:after="0"/>
              <w:jc w:val="both"/>
              <w:rPr>
                <w:rFonts w:ascii="Times New Roman" w:hAnsi="Times New Roman"/>
                <w:b/>
                <w:b/>
                <w:sz w:val="20"/>
                <w:szCs w:val="20"/>
              </w:rPr>
            </w:pPr>
            <w:r>
              <w:rPr>
                <w:kern w:val="0"/>
                <w:sz w:val="16"/>
                <w:szCs w:val="20"/>
              </w:rPr>
            </w:r>
          </w:p>
        </w:tc>
      </w:tr>
    </w:tbl>
    <w:sectPr>
      <w:type w:val="nextPage"/>
      <w:pgSz w:w="11906" w:h="16838"/>
      <w:pgMar w:left="567" w:right="567" w:header="0" w:top="567" w:footer="0" w:bottom="567" w:gutter="0"/>
      <w:pgNumType w:fmt="decimal"/>
      <w:formProt w:val="false"/>
      <w:textDirection w:val="lrTb"/>
      <w:docGrid w:type="default" w:linePitch="10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Calibri">
    <w:charset w:val="cc"/>
    <w:family w:val="roman"/>
    <w:pitch w:val="variable"/>
  </w:font>
  <w:font w:name="Liberation Sans">
    <w:altName w:val="Arial"/>
    <w:charset w:val="cc"/>
    <w:family w:val="swiss"/>
    <w:pitch w:val="variable"/>
  </w:font>
  <w:font w:name="Times New Roman">
    <w:charset w:val="cc"/>
    <w:family w:val="roman"/>
    <w:pitch w:val="variable"/>
  </w:font>
</w:fonts>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NSimSun" w:cs="Lucida Sans"/>
        <w:kern w:val="2"/>
        <w:sz w:val="22"/>
        <w:szCs w:val="24"/>
        <w:lang w:val="ru-RU" w:eastAsia="zh-CN" w:bidi="hi-IN"/>
      </w:rPr>
    </w:rPrDefault>
    <w:pPrDefault>
      <w:pPr>
        <w:suppressAutoHyphens w:val="true"/>
      </w:pPr>
    </w:pPrDefault>
  </w:docDefaults>
  <w:style w:type="paragraph" w:styleId="Normal">
    <w:name w:val="Normal"/>
    <w:qFormat/>
    <w:pPr>
      <w:widowControl w:val="false"/>
      <w:bidi w:val="0"/>
    </w:pPr>
    <w:rPr>
      <w:rFonts w:ascii="Calibri" w:hAnsi="Calibri" w:eastAsia="NSimSun" w:cs="Lucida Sans"/>
      <w:color w:val="auto"/>
      <w:kern w:val="2"/>
      <w:sz w:val="22"/>
      <w:szCs w:val="24"/>
      <w:lang w:val="ru-RU" w:eastAsia="zh-CN" w:bidi="hi-IN"/>
    </w:rPr>
  </w:style>
  <w:style w:type="paragraph" w:styleId="Style14">
    <w:name w:val="Заголовок"/>
    <w:basedOn w:val="Normal"/>
    <w:next w:val="Style15"/>
    <w:qFormat/>
    <w:pPr>
      <w:keepNext w:val="true"/>
      <w:spacing w:before="240" w:after="120"/>
    </w:pPr>
    <w:rPr>
      <w:rFonts w:ascii="Liberation Sans" w:hAnsi="Liberation Sans" w:eastAsia="Microsoft YaHei" w:cs="Lucida Sans"/>
      <w:sz w:val="28"/>
      <w:szCs w:val="28"/>
    </w:rPr>
  </w:style>
  <w:style w:type="paragraph" w:styleId="Style15">
    <w:name w:val="Body Text"/>
    <w:basedOn w:val="Normal"/>
    <w:pPr>
      <w:spacing w:lineRule="auto" w:line="276" w:before="0" w:after="140"/>
    </w:pPr>
    <w:rPr/>
  </w:style>
  <w:style w:type="paragraph" w:styleId="Style16">
    <w:name w:val="List"/>
    <w:basedOn w:val="Style15"/>
    <w:pPr/>
    <w:rPr>
      <w:rFonts w:cs="Lucida Sans"/>
    </w:rPr>
  </w:style>
  <w:style w:type="paragraph" w:styleId="Style17">
    <w:name w:val="Caption"/>
    <w:basedOn w:val="Normal"/>
    <w:qFormat/>
    <w:pPr>
      <w:suppressLineNumbers/>
      <w:spacing w:before="120" w:after="120"/>
    </w:pPr>
    <w:rPr>
      <w:rFonts w:cs="Lucida Sans"/>
      <w:i/>
      <w:iCs/>
      <w:sz w:val="24"/>
      <w:szCs w:val="24"/>
    </w:rPr>
  </w:style>
  <w:style w:type="paragraph" w:styleId="Style18">
    <w:name w:val="Указатель"/>
    <w:basedOn w:val="Normal"/>
    <w:qFormat/>
    <w:pPr>
      <w:suppressLineNumbers/>
    </w:pPr>
    <w:rPr>
      <w:rFonts w:cs="Lucida Sans"/>
    </w:rPr>
  </w:style>
  <w:style w:type="table" w:styleId="TableStyle0">
    <w:name w:val="TableStyle0"/>
    <w:pPr>
      <w:spacing w:after="0" w:line="240" w:lineRule="auto"/>
    </w:pPr>
    <w:rPr>
      <w:sz w:val="16"/>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1</TotalTime>
  <Application>LibreOffice/7.1.5.2$Windows_X86_64 LibreOffice_project/85f04e9f809797b8199d13c421bd8a2b025d52b5</Application>
  <AppVersion>15.0000</AppVersion>
  <Pages>3</Pages>
  <Words>1076</Words>
  <Characters>7696</Characters>
  <CharactersWithSpaces>9216</CharactersWithSpaces>
  <Paragraphs>62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2023-03-14T11:51:13Z</dcterms:modified>
  <cp:revision>1</cp:revision>
  <dc:subject/>
  <dc:title/>
</cp:coreProperties>
</file>