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Default Extension="png" ContentType="image/png"/>
  <Override PartName="/word/settings.xml" ContentType="application/vnd.openxmlformats-officedocument.wordprocessingml.setting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webSettings.xml" ContentType="application/vnd.openxmlformats-officedocument.wordprocessingml.webSettings+xml"/>
</Types>
</file>

<file path=_rels/.rels>&#65279;<?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ve="http://schemas.openxmlformats.org/markup-compatibility/2006" xmlns:w="http://schemas.openxmlformats.org/wordprocessingml/2006/main" xmlns:w10="urn:schemas-microsoft-com:office:word" xmlns:wne="http://schemas.microsoft.com/office/word/2006/wordml">
  <w:body>
    <w:tbl>
      <w:tblPr>
        <w:tblStyle w:val="TableStyle0"/>
        <w:tblW w:w="10395" w:type="dxa"/>
        <w:tblLayout w:type="fixed"/>
        <w:tblCellMar>
          <w:left w:w="0" w:type="dxa"/>
          <w:right w:w="0" w:type="dxa"/>
        </w:tblCellMar>
        <w:tblLook w:val="04A0"/>
      </w:tblPr>
      <w:tblGrid>
        <w:gridCol w:w="945"/>
        <w:gridCol w:w="945"/>
        <w:gridCol w:w="945"/>
        <w:gridCol w:w="945"/>
        <w:gridCol w:w="945"/>
        <w:gridCol w:w="945"/>
        <w:gridCol w:w="945"/>
        <w:gridCol w:w="945"/>
        <w:gridCol w:w="945"/>
        <w:gridCol w:w="945"/>
        <w:gridCol w:w="945"/>
      </w:tblGrid>
      <w:tr>
        <w:trPr>
          <w:trHeight w:val="31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ДОГОВОР</w:t>
            </w:r>
          </w:p>
        </w:tc>
      </w:tr>
      <w:tr>
        <w:trPr>
          <w:trHeight w:val="27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купли-продажи</w:t>
            </w:r>
          </w:p>
        </w:tc>
      </w:tr>
      <w:tr>
        <w:trPr>
          <w:trHeight w:val="270" w:hRule="exact"/>
        </w:trPr>
        <w:tc>
          <w:tcPr>
            <w:tcW w:w="9450" w:type="dxa"/>
            <w:gridSpan w:val="10"/>
            <w:shd w:val="clear" w:color="FFFFFF" w:fill="auto"/>
            <w:textDirection w:val="lrTb"/>
            <w:vAlign w:val="top"/>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center"/>
              <w:rPr>
                <w:rFonts w:ascii="Times New Roman" w:hAnsi="Times New Roman"/>
                <w:b/>
                <w:sz w:val="20"/>
                <w:szCs w:val="20"/>
              </w:rPr>
            </w:pP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Мы, нижеподписавшиеся:</w:t>
            </w:r>
          </w:p>
        </w:tc>
      </w:tr>
      <w:tr>
        <w:trPr>
          <w:trHeight w:val="145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Гражданин РФ Карпова Наталия Георгиевна (Поклёнок Наталия Георгиевна) (13.10.1975г.р., место рожд: г. Томск, адрес рег: 634006, Томская обл, Томск г, Рабочий пер, дом № 12, квартира 2, СНИЛС06856520897, ИНН 701722112000, паспорт РФ серия 6920, номер 936520, выдан 29.10.2020, кем выдан УМВД РОССИИ ПО ТОМСКОЙ ОБЛАСТИ , код подразделения 700-004), в лице Гражданина РФ Финансового управляющего Корчашкиной Владилены Анатольевны (ИНН 540702362561, СНИЛС 16920740980, рег.номер 21231), действующего на основании решения Арбитражного суда Томской области от 07.11.2022г. по делу №А67-8345/2022, именуемый в дальнейшем «Продавец», с одной стороны, и </w:t>
            </w:r>
          </w:p>
        </w:tc>
      </w:tr>
      <w:tr>
        <w:trPr>
          <w:trHeight w:val="4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Гражданин РФ , именуемый в дальнейшем «Покупатель» с другой стороны, а совместно именуемые «Стороны», заключили настоящий договор о нижеследующем,</w:t>
            </w:r>
          </w:p>
        </w:tc>
      </w:tr>
      <w:tr>
        <w:trPr>
          <w:trHeight w:val="30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1.  Предмет договора</w:t>
            </w:r>
          </w:p>
        </w:tc>
      </w:tr>
      <w:tr>
        <w:trPr>
          <w:trHeight w:val="97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1.1.  В соответствии с Протоколом №  от 03.05.2023г. по продаже имущества Карповой Наталии Георгиевны, размещенным на торговой площадке  АО "НИС" (https://nistp.ru/ )  (далее по тексту – "Протокол"), Продавец обязуется передать в собственность Покупателя, признанного Победителем указанных торгов, имущество, выигранное на этих торгах, а именно: Автомобиль легковой, марка: Chevrolet, модель: Lacetti, VIN: XUUNF196J70000530</w:t>
            </w:r>
          </w:p>
        </w:tc>
      </w:tr>
      <w:tr>
        <w:trPr>
          <w:trHeight w:val="300" w:hRule="exact"/>
        </w:trPr>
        <w:tc>
          <w:tcPr>
            <w:tcW w:w="10395" w:type="dxa"/>
            <w:gridSpan w:val="11"/>
            <w:shd w:val="clear" w:color="FFFFFF" w:fill="FFFFFF"/>
            <w:textDirection w:val="lrTb"/>
            <w:vAlign w:val="bottom"/>
          </w:tcPr>
          <w:p>
            <w:pPr>
              <w:wordWrap w:val="1"/>
              <w:jc w:val="both"/>
              <w:rPr>
                <w:rFonts w:ascii="Times New Roman" w:hAnsi="Times New Roman"/>
                <w:sz w:val="20"/>
                <w:szCs w:val="20"/>
              </w:rPr>
            </w:pPr>
          </w:p>
        </w:tc>
      </w:tr>
      <w:tr>
        <w:trPr>
          <w:trHeight w:val="4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1.2. Транспортное средство принадлежит  Продавцу на праве собственности на основании Паспорта транспортного средства , Свидетельства о регистрации ТС .</w:t>
            </w:r>
          </w:p>
        </w:tc>
      </w:tr>
      <w:tr>
        <w:trPr>
          <w:trHeight w:val="4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1.3. На момент составления Договора купли продажи на вышеуказанном имуществе обременения/ограничения отсутствуют.</w:t>
            </w:r>
          </w:p>
        </w:tc>
      </w:tr>
      <w:tr>
        <w:trPr>
          <w:trHeight w:val="30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2. Обязанности Сторон</w:t>
            </w: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2.1. Продавец обязуется:</w:t>
            </w: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2.1.1. Передать Покупателю имущество по акту приема-передачи.</w:t>
            </w:r>
          </w:p>
        </w:tc>
      </w:tr>
      <w:tr>
        <w:trPr>
          <w:trHeight w:val="73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2.1.2. Передать Покупателю по акту приема-передачи, все необходимые документы для регистрации перехода права собственности на выигранное на открытых торгах имущество, в течение 30 (тридцати) рабочих дней с момента поступления на расчетный счет Продавца денежных средств в соответствии с настоящим договором.</w:t>
            </w: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2.2. Покупатель обязан:</w:t>
            </w:r>
          </w:p>
        </w:tc>
      </w:tr>
      <w:tr>
        <w:trPr>
          <w:trHeight w:val="285"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 xml:space="preserve">                2.2.1. Оплатить полную стоимость имущества в соответствии с настоящим договором.</w:t>
            </w:r>
          </w:p>
        </w:tc>
      </w:tr>
      <w:tr>
        <w:trPr>
          <w:trHeight w:val="4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2.2.2. В течение 30 (тридцати) рабочих дней со дня исполнения всех своих обязательств, предусмотренных настоящим договором, принять от Продавца имущество по акту приема-передачи.</w:t>
            </w:r>
          </w:p>
        </w:tc>
      </w:tr>
      <w:tr>
        <w:trPr>
          <w:trHeight w:val="30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3. Цена и порядок расчетов</w:t>
            </w:r>
          </w:p>
        </w:tc>
      </w:tr>
      <w:tr>
        <w:trPr>
          <w:trHeight w:val="300"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 xml:space="preserve">                3.1. Стоимость имущества составляет:</w:t>
            </w:r>
          </w:p>
        </w:tc>
      </w:tr>
      <w:tr>
        <w:trPr>
          <w:trHeight w:val="97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(Ноль) рублей 00 копеек без учета НДС (подпункт 15 п.2 ст.146 НК), Задаток, оплаченный Покупателем, составляет  (Ноль) рублей 00 копеек, итоговая сумма оплаты Покупателем составляет ( (Ноль) рублей 00 копеек. Цена настоящего договора установлена по результатам проведения торгов, которые проводились 03.05.2023г. на сайте https://nistp.ru/ , является окончательной и изменению не подлежит.</w:t>
            </w:r>
          </w:p>
        </w:tc>
      </w:tr>
      <w:tr>
        <w:trPr>
          <w:trHeight w:val="52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3.2. Расходы по переходу права собственности и иные, не указанные в настоящем договоре возможные расходы, необходимые для исполнения договорных обязательств, несет Покупатель.</w:t>
            </w:r>
          </w:p>
        </w:tc>
      </w:tr>
      <w:tr>
        <w:trPr>
          <w:trHeight w:val="4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3.3. Оплата стоимости имущества по настоящему договору осуществляется Покупателем безналичным платежом на расчетный счет:</w:t>
            </w:r>
          </w:p>
        </w:tc>
      </w:tr>
      <w:tr>
        <w:trPr>
          <w:trHeight w:val="300"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Получатель: Арбитражный управляющий Корчашкина Владилена Анатольевна (ИНН 540702362561)</w:t>
            </w:r>
          </w:p>
        </w:tc>
      </w:tr>
      <w:tr>
        <w:trPr>
          <w:trHeight w:val="975"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Р/СЧ 40802810644050077092</w:t>
              <w:br/>
              <w:t>
БИК 045004641</w:t>
              <w:br/>
              <w:t>
КР/СЧ 30101810500000000641</w:t>
              <w:br/>
              <w:t>
НАИМЕНОВАНИЕ БАНКА ПАО СБЕРБАНК,</w:t>
            </w:r>
          </w:p>
        </w:tc>
      </w:tr>
      <w:tr>
        <w:trPr>
          <w:trHeight w:val="300"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в течение тридцати дней с даты подписания настоящего договора.</w:t>
            </w:r>
          </w:p>
        </w:tc>
      </w:tr>
      <w:tr>
        <w:trPr>
          <w:trHeight w:val="73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Моментом надлежащей оплаты по настоящему договору считать момент перечисления банком Покупателя либо банком-корреспондентом предусмотренных настоящим договором сумм в банк Продавца для их дальнейшего зачисления на счет Продавца.</w:t>
            </w:r>
          </w:p>
        </w:tc>
      </w:tr>
      <w:tr>
        <w:trPr>
          <w:trHeight w:val="30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4. Передача имущества и переход риска случайной гибели имущества</w:t>
            </w:r>
          </w:p>
        </w:tc>
      </w:tr>
      <w:tr>
        <w:trPr>
          <w:trHeight w:val="93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4.1. Продавец в течение 30 (тридцати) рабочих дней со дня исполнения Покупателем всех своих обязательств, предусмотренных настоящим договором, обязан передать Покупателю имущество. Передача имущества осуществляется посредством подписания Сторонами акта приема-передачи. Момент подписания акта приема-передачи является моментом передачи имущества Покупателю.</w:t>
            </w:r>
          </w:p>
        </w:tc>
      </w:tr>
      <w:tr>
        <w:trPr>
          <w:trHeight w:val="69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4.2. Стороны договора определили, что Продавец осуществляет подготовку имущества к передаче его Покупателю, в том числе составление и представление на подписание акта приема-передачи. Указанные действия осуществляются Продавцом своими силами и за свой счет.</w:t>
            </w:r>
          </w:p>
        </w:tc>
      </w:tr>
      <w:tr>
        <w:trPr>
          <w:trHeight w:val="7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4.3. Имущество, полагают Стороны договора, будет считаться переданным от Продавца Покупателю с момента подписания акта приема-передачи обеими Сторонами договора. С этого момента на Покупателя переходит риск случайной гибели или случайного повреждения имущества, переданного Покупателю.</w:t>
            </w:r>
          </w:p>
        </w:tc>
      </w:tr>
      <w:tr>
        <w:trPr>
          <w:trHeight w:val="69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4.4. В случае, если Покупатель уклоняется от подписания акта приема-передачи по истечении 30 (тридцати) рабочих дней со дня исполнения Покупателем всех своих обязательств, риск случайной гибели или случайного повреждения имущества переходит на него.</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5. Возникновение права собственности</w:t>
            </w:r>
          </w:p>
        </w:tc>
      </w:tr>
      <w:tr>
        <w:trPr>
          <w:trHeight w:val="127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5.1. Право собственности транспортным средством возникает у Покупателя с момента подписания акта приема-передачи транспортного средства либо по истечении 30 (тридцати) рабочих дней со дня исполнения Покупателем всех своих обязательств в случае, если Покупатель уклоняется от подписания акта приема-передачи. Покупатель до подписания настоящего договора ознакомился с техническим состоянием Транспортного средства. Транспортное средство передано в надлежащем качественном состоянии.</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6. Ответственность Сторон</w:t>
            </w:r>
          </w:p>
        </w:tc>
      </w:tr>
      <w:tr>
        <w:trPr>
          <w:trHeight w:val="51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6.1. Любая из Сторон настоящего договора, не исполнившая обязательства по договору или исполнившая их ненадлежащим образом, несет ответственность за упомянутое при наличии вины (умысла или неосторожности).</w:t>
            </w:r>
          </w:p>
        </w:tc>
      </w:tr>
      <w:tr>
        <w:trPr>
          <w:trHeight w:val="52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6.2. Отсутствие вины за неисполнение или ненадлежащее исполнение обязательств по договору доказывается Стороной, нарушившей обязательства.</w:t>
            </w:r>
          </w:p>
        </w:tc>
      </w:tr>
      <w:tr>
        <w:trPr>
          <w:trHeight w:val="222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6.3. Сторона, не исполнившая или ненадлежащим образом исполнившая свои обязательства по договору при выполнении его условий, несет ответственность, если не докажет, что надлежащее исполнение обязательств оказалось невозможным вследствие непреодолимой силы (форс-мажор), т. е. чрезвычайных и непредотвратимых обстоятельств при конкретных условиях конкретного периода времени. К обстоятельствам непреодолимой силы Стороны настоящего договора отнесли такие: явления стихийного характера (землетрясение, наводнение, удар молнии, извержение вулкана, сель, оползень, цунами и т. п.), температуру, силу ветра и уровень осадков в месте исполнения обязательств по договору, исключающих для человека нормальную жизнедеятельность; мораторий органов власти и управления; забастовки, организованные в установленном законом порядке, и другие обстоятельства, которые могут быть определены Сторонами договора как непреодолимая сила для надлежащего исполнения обязательств.</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7. Порядок разрешения споров</w:t>
            </w:r>
          </w:p>
        </w:tc>
      </w:tr>
      <w:tr>
        <w:trPr>
          <w:trHeight w:val="54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7.1. Споры, вытекающие из настоящего Договора, подлежат рассмотрению в арбитражном суде в порядке, предусмотренном действующим законодательством РФ.</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8. Условия изменения и расторжения договора</w:t>
            </w:r>
          </w:p>
        </w:tc>
      </w:tr>
      <w:tr>
        <w:trPr>
          <w:trHeight w:val="58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8.1. Расторжение настоящего договора осуществляется в порядке, предусмотренном законодательством Российской Федерации, без возврата внесенного задатка.</w:t>
            </w:r>
          </w:p>
        </w:tc>
      </w:tr>
      <w:tr>
        <w:trPr>
          <w:trHeight w:val="76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8.2. Если покупатель в нарушение договора купли-продажи отказывается принять и оплатить товар, продавец вправе по своему выбору потребовать оплаты товара либо отказаться от исполнения договора  (п. 4 ст. 486 Гражданского Кодекса Российской Федерации).</w:t>
              <w:br/>
              <w:t>
</w:t>
            </w:r>
          </w:p>
        </w:tc>
      </w:tr>
      <w:tr>
        <w:trPr>
          <w:trHeight w:val="102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8.3. Право на односторонний отказ от договора (исполнения договора) (статья 310 Гражданского Кодекса Российской Федерации) может быть осуществлено управомоченной стороной путем уведомления другой стороны об отказе от договора (исполнения договора). Договор прекращается с момента получения данного уведомления, если иное не предусмотрено настоящим Кодексом, другими законами, иными правовыми актами или договором.</w:t>
              <w:br/>
              <w:t>
</w:t>
            </w:r>
          </w:p>
        </w:tc>
      </w:tr>
      <w:tr>
        <w:trPr>
          <w:trHeight w:val="78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В случае одностороннего отказа от договора (исполнения договора) полностью или частично, если такой отказ допускается, договор считается расторгнутым или измененным. (пп. 1, 2 Статья 450.1. Гражданского Кодекса Российской Федерации).</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9. Заключительные положения</w:t>
            </w:r>
          </w:p>
        </w:tc>
      </w:tr>
      <w:tr>
        <w:trPr>
          <w:trHeight w:val="58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9.1. Настоящий договор вступает в силу с момента его подписания и действует до момента окончания исполнения Сторонами договора своих обязательств по нему.</w:t>
            </w: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9.2. Сторонами договора рассмотрены все документы, подготовленные в связи с продажей имущества.</w:t>
            </w:r>
          </w:p>
        </w:tc>
      </w:tr>
      <w:tr>
        <w:trPr>
          <w:trHeight w:val="27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9.3. Настоящий Договор составлен в 2-х экземплярах, имеющих одинаковую юридическую силу.</w:t>
            </w:r>
          </w:p>
        </w:tc>
      </w:tr>
      <w:tr>
        <w:trPr>
          <w:trHeight w:val="99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9.4. По всем вопросам, не нашедшим решения в условиях настоящего договора, но прямо или косвенно вытекающим из отношений Сторон по нему, затрагивающих имущественные интересы и деловую репутацию Сторон настоящего договора, имея в виду необходимости защиты их охраняемых законом прав и интересов, Стороны настоящего договора будут руководствоваться нормами и положениями действующего законодательства Российской Федерации.</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10. Реквизиты и подписи Сторон</w:t>
            </w:r>
          </w:p>
        </w:tc>
      </w:tr>
      <w:tr>
        <w:trPr>
          <w:trHeight w:val="285" w:hRule="exact"/>
        </w:trPr>
        <w:tc>
          <w:tcPr>
            <w:tcW w:w="4725" w:type="dxa"/>
            <w:gridSpan w:val="5"/>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Продавец:</w:t>
            </w:r>
          </w:p>
        </w:tc>
        <w:tc>
          <w:tcPr>
            <w:tcW w:w="5670" w:type="dxa"/>
            <w:gridSpan w:val="6"/>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Покупатель:</w:t>
            </w:r>
          </w:p>
        </w:tc>
      </w:tr>
      <w:tr>
        <w:trPr>
          <w:trHeight w:val="285" w:hRule="exact"/>
        </w:trPr>
        <w:tc>
          <w:tcPr>
            <w:tcW w:w="4725" w:type="dxa"/>
            <w:gridSpan w:val="5"/>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Гражданин РФ</w:t>
            </w:r>
          </w:p>
        </w:tc>
        <w:tc>
          <w:tcPr>
            <w:tcW w:w="5670" w:type="dxa"/>
            <w:gridSpan w:val="6"/>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Гражданин РФ</w:t>
            </w:r>
          </w:p>
        </w:tc>
      </w:tr>
      <w:tr>
        <w:trPr>
          <w:trHeight w:val="1935" w:hRule="exact"/>
        </w:trPr>
        <w:tc>
          <w:tcPr>
            <w:tcW w:w="4725" w:type="dxa"/>
            <w:gridSpan w:val="5"/>
            <w:shd w:val="clear" w:color="FFFFFF" w:fill="auto"/>
            <w:textDirection w:val="lrTb"/>
            <w:vAlign w:val="bottom"/>
          </w:tcPr>
          <w:p>
            <w:pPr>
              <w:wordWrap w:val="1"/>
              <w:jc w:val="both"/>
              <w:rPr>
                <w:rFonts w:ascii="Times New Roman" w:hAnsi="Times New Roman"/>
                <w:b/>
                <w:sz w:val="20"/>
                <w:szCs w:val="20"/>
              </w:rPr>
            </w:pPr>
            <w:r>
              <w:rPr>
                <w:rFonts w:ascii="Times New Roman" w:hAnsi="Times New Roman"/>
                <w:b/>
                <w:sz w:val="20"/>
                <w:szCs w:val="20"/>
              </w:rPr>
              <w:t>Карпова Наталия Георгиевна (Поклёнок Наталия Георгиевна) (13.10.1975г.р., место рожд: г. Томск, адрес рег: 634006, Томская обл, Томск г, Рабочий пер, дом № 12, квартира 2, СНИЛС06856520897, ИНН 701722112000, паспорт РФ серия 6920, номер 936520, выдан 29.10.2020, кем выдан УМВД РОССИИ ПО ТОМСКОЙ ОБЛАСТИ , код подразделения 700-004)</w:t>
            </w:r>
          </w:p>
        </w:tc>
        <w:tc>
          <w:tcPr>
            <w:tcW w:w="5670" w:type="dxa"/>
            <w:gridSpan w:val="6"/>
            <w:vMerge w:val="restart"/>
            <w:shd w:val="clear" w:color="FFFFFF" w:fill="auto"/>
            <w:textDirection w:val="lrTb"/>
            <w:vAlign w:val="top"/>
          </w:tcPr>
          <w:p>
            <w:pPr>
              <w:wordWrap w:val="1"/>
              <w:jc w:val="both"/>
              <w:rPr>
                <w:rFonts w:ascii="Times New Roman" w:hAnsi="Times New Roman"/>
                <w:b/>
                <w:sz w:val="20"/>
                <w:szCs w:val="20"/>
              </w:rPr>
            </w:pPr>
          </w:p>
        </w:tc>
      </w:tr>
      <w:tr>
        <w:trPr>
          <w:trHeight w:val="300" w:hRule="exact"/>
        </w:trPr>
        <w:tc>
          <w:tcPr>
            <w:tcW w:w="4725" w:type="dxa"/>
            <w:gridSpan w:val="5"/>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Реквизиты</w:t>
            </w: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495" w:hRule="exact"/>
        </w:trPr>
        <w:tc>
          <w:tcPr>
            <w:tcW w:w="4725" w:type="dxa"/>
            <w:gridSpan w:val="5"/>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Арбитражный управляющий Корчашкина Владилена Анатольевна (ИНН 540702362561)</w:t>
            </w: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975" w:hRule="exact"/>
        </w:trPr>
        <w:tc>
          <w:tcPr>
            <w:tcW w:w="4725" w:type="dxa"/>
            <w:gridSpan w:val="5"/>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Р/СЧ 40802810644050077092</w:t>
              <w:br/>
              <w:t>
БИК 045004641</w:t>
              <w:br/>
              <w:t>
КР/СЧ 30101810500000000641</w:t>
              <w:br/>
              <w:t>
НАИМЕНОВАНИЕ БАНКА ПАО СБЕРБАНК</w:t>
            </w: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300" w:hRule="exact"/>
        </w:trPr>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300" w:hRule="exact"/>
        </w:trPr>
        <w:tc>
          <w:tcPr>
            <w:tcW w:w="4725" w:type="dxa"/>
            <w:gridSpan w:val="5"/>
            <w:shd w:val="clear" w:color="FFFFFF" w:fill="auto"/>
            <w:textDirection w:val="lrTb"/>
            <w:vAlign w:val="bottom"/>
          </w:tcPr>
          <w:p>
            <w:pPr>
              <w:wordWrap w:val="1"/>
              <w:jc w:val="both"/>
              <w:rPr>
                <w:rFonts w:ascii="Times New Roman" w:hAnsi="Times New Roman"/>
                <w:b/>
                <w:sz w:val="20"/>
                <w:szCs w:val="20"/>
              </w:rPr>
            </w:pPr>
            <w:r>
              <w:rPr>
                <w:rFonts w:ascii="Times New Roman" w:hAnsi="Times New Roman"/>
                <w:b/>
                <w:sz w:val="20"/>
                <w:szCs w:val="20"/>
              </w:rPr>
              <w:t>Финансовый управляющий</w:t>
            </w: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300" w:hRule="exact"/>
        </w:trPr>
        <w:tc>
          <w:tcPr>
            <w:tcW w:w="4725" w:type="dxa"/>
            <w:gridSpan w:val="5"/>
            <w:shd w:val="clear" w:color="FFFFFF" w:fill="auto"/>
            <w:textDirection w:val="lrTb"/>
            <w:vAlign w:val="bottom"/>
          </w:tcPr>
          <w:p>
            <w:pPr>
              <w:wordWrap w:val="1"/>
              <w:jc w:val="both"/>
              <w:rPr>
                <w:rFonts w:ascii="Times New Roman" w:hAnsi="Times New Roman"/>
                <w:b/>
                <w:sz w:val="20"/>
                <w:szCs w:val="20"/>
              </w:rPr>
            </w:pPr>
            <w:r>
              <w:rPr>
                <w:rFonts w:ascii="Times New Roman" w:hAnsi="Times New Roman"/>
                <w:b/>
                <w:sz w:val="20"/>
                <w:szCs w:val="20"/>
              </w:rPr>
              <w:t>Карповой Наталии Георгиевны</w:t>
            </w:r>
          </w:p>
        </w:tc>
        <w:tc>
          <w:tcPr>
            <w:tcW w:w="945" w:type="dxa"/>
            <w:shd w:val="clear" w:color="FFFFFF" w:fill="auto"/>
            <w:textDirection w:val="lrTb"/>
            <w:vAlign w:val="top"/>
          </w:tcPr>
          <w:p>
            <w:pPr>
              <w:wordWrap w:val="1"/>
              <w:jc w:val="both"/>
              <w:rPr>
                <w:rFonts w:ascii="Times New Roman" w:hAnsi="Times New Roman"/>
                <w:b/>
                <w:sz w:val="20"/>
                <w:szCs w:val="20"/>
              </w:rPr>
            </w:pPr>
          </w:p>
        </w:tc>
        <w:tc>
          <w:tcPr>
            <w:tcW w:w="945" w:type="dxa"/>
            <w:shd w:val="clear" w:color="FFFFFF" w:fill="auto"/>
            <w:textDirection w:val="lrTb"/>
            <w:vAlign w:val="top"/>
          </w:tcPr>
          <w:p>
            <w:pPr>
              <w:wordWrap w:val="1"/>
              <w:jc w:val="both"/>
              <w:rPr>
                <w:rFonts w:ascii="Times New Roman" w:hAnsi="Times New Roman"/>
                <w:b/>
                <w:sz w:val="20"/>
                <w:szCs w:val="20"/>
              </w:rPr>
            </w:pPr>
          </w:p>
        </w:tc>
        <w:tc>
          <w:tcPr>
            <w:tcW w:w="945" w:type="dxa"/>
            <w:shd w:val="clear" w:color="FFFFFF" w:fill="auto"/>
            <w:textDirection w:val="lrTb"/>
            <w:vAlign w:val="top"/>
          </w:tcPr>
          <w:p>
            <w:pPr>
              <w:wordWrap w:val="1"/>
              <w:jc w:val="both"/>
              <w:rPr>
                <w:rFonts w:ascii="Times New Roman" w:hAnsi="Times New Roman"/>
                <w:b/>
                <w:sz w:val="20"/>
                <w:szCs w:val="20"/>
              </w:rPr>
            </w:pPr>
          </w:p>
        </w:tc>
        <w:tc>
          <w:tcPr>
            <w:tcW w:w="945" w:type="dxa"/>
            <w:shd w:val="clear" w:color="FFFFFF" w:fill="auto"/>
            <w:textDirection w:val="lrTb"/>
            <w:vAlign w:val="top"/>
          </w:tcPr>
          <w:p>
            <w:pPr>
              <w:wordWrap w:val="1"/>
              <w:jc w:val="both"/>
              <w:rPr>
                <w:rFonts w:ascii="Times New Roman" w:hAnsi="Times New Roman"/>
                <w:b/>
                <w:sz w:val="20"/>
                <w:szCs w:val="20"/>
              </w:rPr>
            </w:pPr>
          </w:p>
        </w:tc>
        <w:tc>
          <w:tcPr>
            <w:tcW w:w="945" w:type="dxa"/>
            <w:shd w:val="clear" w:color="FFFFFF" w:fill="auto"/>
            <w:textDirection w:val="lrTb"/>
            <w:vAlign w:val="top"/>
          </w:tcPr>
          <w:p>
            <w:pPr>
              <w:wordWrap w:val="1"/>
              <w:jc w:val="both"/>
              <w:rPr>
                <w:rFonts w:ascii="Times New Roman" w:hAnsi="Times New Roman"/>
                <w:b/>
                <w:sz w:val="20"/>
                <w:szCs w:val="20"/>
              </w:rPr>
            </w:pPr>
          </w:p>
        </w:tc>
        <w:tc>
          <w:tcPr>
            <w:tcW w:w="945" w:type="dxa"/>
            <w:shd w:val="clear" w:color="FFFFFF" w:fill="auto"/>
            <w:textDirection w:val="lrTb"/>
            <w:vAlign w:val="top"/>
          </w:tcPr>
          <w:p>
            <w:pPr>
              <w:wordWrap w:val="1"/>
              <w:jc w:val="both"/>
              <w:rPr>
                <w:rFonts w:ascii="Times New Roman" w:hAnsi="Times New Roman"/>
                <w:b/>
                <w:sz w:val="20"/>
                <w:szCs w:val="20"/>
              </w:rPr>
            </w:pPr>
          </w:p>
        </w:tc>
      </w:tr>
      <w:tr>
        <w:trPr>
          <w:trHeight w:val="300" w:hRule="exact"/>
        </w:trPr>
        <w:tc>
          <w:tcPr>
            <w:tcW w:w="4725" w:type="dxa"/>
            <w:gridSpan w:val="5"/>
            <w:shd w:val="clear" w:color="FFFFFF" w:fill="auto"/>
            <w:textDirection w:val="lrTb"/>
            <w:vAlign w:val="bottom"/>
          </w:tcPr>
          <w:p>
            <w:pPr>
              <w:wordWrap w:val="1"/>
              <w:jc w:val="both"/>
              <w:rPr>
                <w:rFonts w:ascii="Times New Roman" w:hAnsi="Times New Roman"/>
                <w:b/>
                <w:sz w:val="20"/>
                <w:szCs w:val="20"/>
              </w:rPr>
            </w:pPr>
            <w:r>
              <w:rPr>
                <w:rFonts w:ascii="Times New Roman" w:hAnsi="Times New Roman"/>
                <w:b/>
                <w:sz w:val="20"/>
                <w:szCs w:val="20"/>
              </w:rPr>
              <w:t>Корчашкина Владилена Анатольевна</w:t>
            </w:r>
          </w:p>
        </w:tc>
        <w:tc>
          <w:tcPr>
            <w:tcW w:w="2835" w:type="dxa"/>
            <w:gridSpan w:val="3"/>
            <w:shd w:val="clear" w:color="FFFFFF" w:fill="auto"/>
            <w:textDirection w:val="lrTb"/>
            <w:vAlign w:val="bottom"/>
          </w:tcPr>
          <w:p>
            <w:pPr>
              <w:wordWrap w:val="1"/>
              <w:jc w:val="both"/>
              <w:rPr>
                <w:rFonts w:ascii="Times New Roman" w:hAnsi="Times New Roman"/>
                <w:b/>
                <w:sz w:val="20"/>
                <w:szCs w:val="20"/>
              </w:rPr>
            </w:pPr>
          </w:p>
        </w:tc>
        <w:tc>
          <w:tcPr>
            <w:tcW w:w="2835" w:type="dxa"/>
            <w:gridSpan w:val="3"/>
            <w:shd w:val="clear" w:color="FFFFFF" w:fill="auto"/>
            <w:textDirection w:val="lrTb"/>
            <w:vAlign w:val="bottom"/>
          </w:tcPr>
          <w:p>
            <w:pPr>
              <w:wordWrap w:val="1"/>
              <w:jc w:val="both"/>
              <w:rPr>
                <w:rFonts w:ascii="Times New Roman" w:hAnsi="Times New Roman"/>
                <w:sz w:val="20"/>
                <w:szCs w:val="20"/>
              </w:rPr>
            </w:pPr>
          </w:p>
        </w:tc>
      </w:tr>
    </w:tbl>
    <w:sectPr>
      <w:pgSz w:w="11907" w:h="16839" w:orient="portrait"/>
      <w:pgMar w:top="567" w:right="567" w:bottom="567" w:left="567"/>
    </w:sectPr>
  </w:body>
</w:document>
</file>

<file path=word/settings.xml><?xml version="1.0" encoding="utf-8"?>
<w:settings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view w:val="normal"/>
  <w:zoom w:percent="100"/>
</w:settings>
</file>

<file path=word/styles.xml><?xml version="1.0" encoding="utf-8"?>
<w:styles xmlns:r="http://schemas.openxmlformats.org/officeDocument/2006/relationships" xmlns:w="http://schemas.openxmlformats.org/wordprocessingml/2006/main">
  <w:style w:type="table" w:styleId="TableStyle0">
    <w:name w:val="TableStyle0"/>
    <w:pPr>
      <w:spacing w:after="0" w:line="240" w:lineRule="auto"/>
    </w:pPr>
    <w:rPr>
      <w:rFonts w:ascii="Arial" w:hAnsi="Arial"/>
      <w:sz w:val="16"/>
    </w:rPr>
  </w:style>
</w:styles>
</file>

<file path=word/_rels/document.xml.rels>&#65279;<?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8" Type="http://schemas.openxmlformats.org/officeDocument/2006/relationships/header" Target="header1.xml"/>
	<Relationship Id="rId9" Type="http://schemas.openxmlformats.org/officeDocument/2006/relationships/footer" Target="footer1.xml"/>
	<Relationship Id="rId10" Type="http://schemas.openxmlformats.org/officeDocument/2006/relationships/header" Target="header2.xml"/>
	<Relationship Id="rId11" Type="http://schemas.openxmlformats.org/officeDocument/2006/relationships/footer" Target="footer2.xml"/>
</Relationships>
</file>