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Default Extension="png" ContentType="image/png"/>
  <Override PartName="/word/settings.xml" ContentType="application/vnd.openxmlformats-officedocument.wordprocessingml.setting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webSettings.xml" ContentType="application/vnd.openxmlformats-officedocument.wordprocessingml.webSettings+xml"/>
</Types>
</file>

<file path=_rels/.rels>&#65279;<?xml version="1.0" encoding="UTF-8" standalone="yes"?>
<Relationships xmlns="http://schemas.openxmlformats.org/package/2006/relationships">
	<Relationship Id="rId1" Type="http://schemas.openxmlformats.org/officeDocument/2006/relationships/officeDocument" Target="word/document.xml"/>
</Relationships>
</file>

<file path=word/document.xml><?xml version="1.0" encoding="utf-8"?>
<w:document xmlns:o="urn:schemas-microsoft-com:office:office" xmlns:r="http://schemas.openxmlformats.org/officeDocument/2006/relationships" xmlns:v="urn:schemas-microsoft-com:vml" xmlns:ve="http://schemas.openxmlformats.org/markup-compatibility/2006" xmlns:w="http://schemas.openxmlformats.org/wordprocessingml/2006/main" xmlns:w10="urn:schemas-microsoft-com:office:word" xmlns:wne="http://schemas.microsoft.com/office/word/2006/wordml">
  <w:body>
    <w:tbl>
      <w:tblPr>
        <w:tblStyle w:val="TableStyle0"/>
        <w:tblW w:w="10395" w:type="dxa"/>
        <w:tblLayout w:type="fixed"/>
        <w:tblCellMar>
          <w:left w:w="0" w:type="dxa"/>
          <w:right w:w="0" w:type="dxa"/>
        </w:tblCellMar>
        <w:tblLook w:val="04A0"/>
      </w:tblPr>
      <w:tblGrid>
        <w:gridCol w:w="945"/>
        <w:gridCol w:w="945"/>
        <w:gridCol w:w="945"/>
        <w:gridCol w:w="945"/>
        <w:gridCol w:w="945"/>
        <w:gridCol w:w="945"/>
        <w:gridCol w:w="945"/>
        <w:gridCol w:w="945"/>
        <w:gridCol w:w="945"/>
        <w:gridCol w:w="945"/>
        <w:gridCol w:w="945"/>
      </w:tblGrid>
      <w:tr>
        <w:trPr>
          <w:trHeight w:val="315" w:hRule="exact"/>
        </w:trPr>
        <w:tc>
          <w:tcPr>
            <w:tcW w:w="10395" w:type="dxa"/>
            <w:gridSpan w:val="11"/>
            <w:shd w:val="clear" w:color="FFFFFF" w:fill="auto"/>
            <w:textDirection w:val="lrTb"/>
            <w:vAlign w:val="bottom"/>
          </w:tcPr>
          <w:p>
            <w:pPr>
              <w:wordWrap w:val="1"/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sz w:val="20"/>
                <w:szCs w:val="20"/>
              </w:rPr>
              <w:t>Предварительный договор</w:t>
            </w:r>
          </w:p>
        </w:tc>
      </w:tr>
      <w:tr>
        <w:trPr>
          <w:trHeight w:val="270" w:hRule="exact"/>
        </w:trPr>
        <w:tc>
          <w:tcPr>
            <w:tcW w:w="10395" w:type="dxa"/>
            <w:gridSpan w:val="11"/>
            <w:shd w:val="clear" w:color="FFFFFF" w:fill="auto"/>
            <w:textDirection w:val="lrTb"/>
            <w:vAlign w:val="bottom"/>
          </w:tcPr>
          <w:p>
            <w:pPr>
              <w:wordWrap w:val="1"/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sz w:val="20"/>
                <w:szCs w:val="20"/>
              </w:rPr>
              <w:t>купли-продажи</w:t>
            </w:r>
          </w:p>
        </w:tc>
      </w:tr>
      <w:tr>
        <w:trPr>
          <w:trHeight w:val="270" w:hRule="exact"/>
        </w:trPr>
        <w:tc>
          <w:tcPr>
            <w:tcW w:w="9450" w:type="dxa"/>
            <w:gridSpan w:val="10"/>
            <w:shd w:val="clear" w:color="FFFFFF" w:fill="auto"/>
            <w:textDirection w:val="lrTb"/>
            <w:vAlign w:val="top"/>
          </w:tcPr>
          <w:p>
            <w:pPr>
              <w:wordWrap w:val="1"/>
              <w:jc w:val="right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945" w:type="dxa"/>
            <w:shd w:val="clear" w:color="FFFFFF" w:fill="auto"/>
            <w:textDirection w:val="lrTb"/>
            <w:vAlign w:val="bottom"/>
          </w:tcPr>
          <w:p>
            <w:pPr>
              <w:wordWrap w:val="1"/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</w:p>
        </w:tc>
      </w:tr>
      <w:tr>
        <w:trPr>
          <w:trHeight w:val="1695" w:hRule="exact"/>
        </w:trPr>
        <w:tc>
          <w:tcPr>
            <w:tcW w:w="10395" w:type="dxa"/>
            <w:gridSpan w:val="11"/>
            <w:shd w:val="clear" w:color="FFFFFF" w:fill="auto"/>
            <w:textDirection w:val="lrTb"/>
            <w:vAlign w:val="bottom"/>
          </w:tcPr>
          <w:p>
            <w:pPr>
              <w:wordWrap w:val="1"/>
              <w:jc w:val="both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 xml:space="preserve">            Гражданин РФ Лозовая Ольга Германовна (Кулькина Ольга Германовна) (26.05.1964г.р., место рожд: р. пос. Средняя Ахтуба Волгоградской обл., адрес рег: 404147, Волгоградская обл, Среднеахтубинский р-н, Суходол х, Труда ул, д. 8, кв. 2, СНИЛС01452983546, ИНН 342802449662, паспорт РФ серия 1803, номер 322624, выдан 25.06.2009, кем выдан ГУ МВД РОССИИ ПО ВОЛГОГРАДСКОЙ ОБЛАСТИ, код подразделения 340-038), в лице Гражданина РФ Финансового управляющего Стояна Романа Сергеевича (ИНН 745310520162, СНИЛС 13615578971, рег.номер 20005), действующего на основании решения Арбитражного суда Волгоградской области от 19.08.2021г. по делу №А12-18480/2021, именуемый в дальнейшем «Продавец», с одной стороны, и </w:t>
            </w:r>
          </w:p>
        </w:tc>
      </w:tr>
      <w:tr>
        <w:trPr>
          <w:trHeight w:val="495" w:hRule="exact"/>
        </w:trPr>
        <w:tc>
          <w:tcPr>
            <w:tcW w:w="10395" w:type="dxa"/>
            <w:gridSpan w:val="11"/>
            <w:shd w:val="clear" w:color="FFFFFF" w:fill="auto"/>
            <w:textDirection w:val="lrTb"/>
            <w:vAlign w:val="bottom"/>
          </w:tcPr>
          <w:p>
            <w:pPr>
              <w:wordWrap w:val="1"/>
              <w:jc w:val="both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 xml:space="preserve">            Гражданин РФ  , именуемый в дальнейшем «Покупатель» с другой стороны, а совместно именуемые «Стороны», заключили настоящий договор о нижеследующем,</w:t>
            </w:r>
          </w:p>
        </w:tc>
      </w:tr>
      <w:tr>
        <w:trPr>
          <w:trHeight w:val="300" w:hRule="exact"/>
        </w:trPr>
        <w:tc>
          <w:tcPr>
            <w:tcW w:w="10395" w:type="dxa"/>
            <w:gridSpan w:val="11"/>
            <w:shd w:val="clear" w:color="FFFFFF" w:fill="auto"/>
            <w:textDirection w:val="lrTb"/>
            <w:vAlign w:val="bottom"/>
          </w:tcPr>
          <w:p>
            <w:pPr>
              <w:wordWrap w:val="1"/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sz w:val="20"/>
                <w:szCs w:val="20"/>
              </w:rPr>
              <w:t>1.  Предмет договора</w:t>
            </w:r>
          </w:p>
        </w:tc>
      </w:tr>
      <w:tr>
        <w:trPr>
          <w:trHeight w:val="1215" w:hRule="exact"/>
        </w:trPr>
        <w:tc>
          <w:tcPr>
            <w:tcW w:w="10395" w:type="dxa"/>
            <w:gridSpan w:val="11"/>
            <w:shd w:val="clear" w:color="FFFFFF" w:fill="auto"/>
            <w:textDirection w:val="lrTb"/>
            <w:vAlign w:val="bottom"/>
          </w:tcPr>
          <w:p>
            <w:pPr>
              <w:wordWrap w:val="1"/>
              <w:jc w:val="both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 xml:space="preserve">              1.1. Продавец обязуется известить всех участников долевой собственности в письменной форме, путем направления уведомления в нотариальной форме или в виде извещения на официальном сайте Федеральной службы государственной регистрации кадастра и картографии в сети интернет — https://rosreestr.gov.ru/site/, а также опубликование извещения на иных общедоступных источниках о намерении продать долю в объекте недвижимости (далее по тексту — объект недвижимости) с указанием цены, размера, местоположения объекта недвижимости.</w:t>
            </w:r>
          </w:p>
        </w:tc>
      </w:tr>
      <w:tr>
        <w:trPr>
          <w:trHeight w:val="1455" w:hRule="exact"/>
        </w:trPr>
        <w:tc>
          <w:tcPr>
            <w:tcW w:w="10395" w:type="dxa"/>
            <w:gridSpan w:val="11"/>
            <w:shd w:val="clear" w:color="FFFFFF" w:fill="auto"/>
            <w:textDirection w:val="lrTb"/>
            <w:vAlign w:val="bottom"/>
          </w:tcPr>
          <w:p>
            <w:pPr>
              <w:wordWrap w:val="1"/>
              <w:jc w:val="both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 xml:space="preserve">              1.2. Продавец обязуется после получения отказа от преимущественного права покупки от всех участников долевой собственности или на момент возврат извещения отправителю (продавцу), или получения свидетельства о надлежащем уведомлении всех участников долевой собственности в нотариальной форме, или по истечении 30 дней после размещения извещения на официальном сайте Федеральной службы государственной регистрации кадастра и картографии в сети интернет — https://rosreestr.gov.ru/site/, а также на иных общедоступных источниках, передать в собственность Покупателю путем заключения договора купли-продажи («Основной договор») следующий Объект недвижимости:</w:t>
              <w:br/>
              <w:t>
</w:t>
            </w:r>
          </w:p>
        </w:tc>
      </w:tr>
      <w:tr>
        <w:trPr>
          <w:trHeight w:val="735" w:hRule="exact"/>
        </w:trPr>
        <w:tc>
          <w:tcPr>
            <w:tcW w:w="10395" w:type="dxa"/>
            <w:gridSpan w:val="11"/>
            <w:shd w:val="clear" w:color="FFFFFF" w:fill="auto"/>
            <w:textDirection w:val="lrTb"/>
            <w:vAlign w:val="bottom"/>
          </w:tcPr>
          <w:p>
            <w:pPr>
              <w:wordWrap w:val="1"/>
              <w:jc w:val="both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ЛОТ №3 — Земельный участок, площадь: 162 300м², адрес (местонахождение): Волгоградская область, р-н. Среднеахтубинский, х. Суходол., разрешенное использование: Земли сельскохозяйственного использования, кадастровый номер: 34:28:170005:486 </w:t>
            </w:r>
          </w:p>
        </w:tc>
      </w:tr>
      <w:tr>
        <w:trPr>
          <w:trHeight w:val="495" w:hRule="exact"/>
        </w:trPr>
        <w:tc>
          <w:tcPr>
            <w:tcW w:w="10395" w:type="dxa"/>
            <w:gridSpan w:val="11"/>
            <w:shd w:val="clear" w:color="FFFFFF" w:fill="auto"/>
            <w:textDirection w:val="lrTb"/>
            <w:vAlign w:val="bottom"/>
          </w:tcPr>
          <w:p>
            <w:pPr>
              <w:wordWrap w:val="1"/>
              <w:jc w:val="both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 xml:space="preserve">              1.3. Стороны обязуются заключить Основной договор купли-продажи объекта недвижимости в срок не позднее 26.08.2023.</w:t>
            </w:r>
          </w:p>
        </w:tc>
      </w:tr>
      <w:tr>
        <w:trPr>
          <w:trHeight w:val="495" w:hRule="exact"/>
        </w:trPr>
        <w:tc>
          <w:tcPr>
            <w:tcW w:w="10395" w:type="dxa"/>
            <w:gridSpan w:val="11"/>
            <w:shd w:val="clear" w:color="FFFFFF" w:fill="auto"/>
            <w:textDirection w:val="lrTb"/>
            <w:vAlign w:val="bottom"/>
          </w:tcPr>
          <w:p>
            <w:pPr>
              <w:wordWrap w:val="1"/>
              <w:jc w:val="both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 xml:space="preserve">               1.4. Продавец вправе направить Покупателю Дополнительное Соглашение о внесении изменений в части п.1.3 и п. 5.1  настоящего Договора. (п. 1 ст. 450 Гражданский Кодекс Российской Федерации).”</w:t>
            </w:r>
          </w:p>
        </w:tc>
      </w:tr>
      <w:tr>
        <w:trPr>
          <w:trHeight w:val="300" w:hRule="exact"/>
        </w:trPr>
        <w:tc>
          <w:tcPr>
            <w:tcW w:w="10395" w:type="dxa"/>
            <w:gridSpan w:val="11"/>
            <w:shd w:val="clear" w:color="FFFFFF" w:fill="auto"/>
            <w:textDirection w:val="lrTb"/>
            <w:vAlign w:val="bottom"/>
          </w:tcPr>
          <w:p>
            <w:pPr>
              <w:wordWrap w:val="1"/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sz w:val="20"/>
                <w:szCs w:val="20"/>
              </w:rPr>
              <w:t>2.  Условия основного договора</w:t>
            </w:r>
          </w:p>
        </w:tc>
      </w:tr>
      <w:tr>
        <w:trPr>
          <w:trHeight w:val="495" w:hRule="exact"/>
        </w:trPr>
        <w:tc>
          <w:tcPr>
            <w:tcW w:w="10395" w:type="dxa"/>
            <w:gridSpan w:val="11"/>
            <w:shd w:val="clear" w:color="FFFFFF" w:fill="auto"/>
            <w:textDirection w:val="lrTb"/>
            <w:vAlign w:val="bottom"/>
          </w:tcPr>
          <w:p>
            <w:pPr>
              <w:wordWrap w:val="1"/>
              <w:jc w:val="both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 xml:space="preserve">              2.1. По Основному договору Продавец обязуется передать в собственность Покупателя Объект недвижимости, а Покупатель обязуется его принять и оплатить.</w:t>
            </w:r>
          </w:p>
        </w:tc>
      </w:tr>
      <w:tr>
        <w:trPr>
          <w:trHeight w:val="735" w:hRule="exact"/>
        </w:trPr>
        <w:tc>
          <w:tcPr>
            <w:tcW w:w="10395" w:type="dxa"/>
            <w:gridSpan w:val="11"/>
            <w:shd w:val="clear" w:color="FFFFFF" w:fill="auto"/>
            <w:textDirection w:val="lrTb"/>
            <w:vAlign w:val="bottom"/>
          </w:tcPr>
          <w:p>
            <w:pPr>
              <w:wordWrap w:val="1"/>
              <w:jc w:val="both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 xml:space="preserve">              2.2. Стоимость продаваемого Объекта недвижимости составляет 0 (Ноль рублей 00 копеек) без учета НДС (подпункт 15 п.2 ст.146 НК), Задаток, оплаченный Покупателем, составляет 0 (Ноль рублей 00 копеек), итоговая сумма оплаты Покупателем составляет 0 (Ноль рублей 00 копеек). </w:t>
            </w:r>
          </w:p>
        </w:tc>
      </w:tr>
      <w:tr>
        <w:trPr>
          <w:trHeight w:val="300" w:hRule="exact"/>
        </w:trPr>
        <w:tc>
          <w:tcPr>
            <w:tcW w:w="10395" w:type="dxa"/>
            <w:gridSpan w:val="11"/>
            <w:shd w:val="clear" w:color="FFFFFF" w:fill="auto"/>
            <w:textDirection w:val="lrTb"/>
            <w:vAlign w:val="bottom"/>
          </w:tcPr>
          <w:p>
            <w:pPr>
              <w:wordWrap w:val="1"/>
              <w:jc w:val="both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 xml:space="preserve">              2.3. Продавец обязуется:</w:t>
            </w:r>
          </w:p>
        </w:tc>
      </w:tr>
      <w:tr>
        <w:trPr>
          <w:trHeight w:val="300" w:hRule="exact"/>
        </w:trPr>
        <w:tc>
          <w:tcPr>
            <w:tcW w:w="10395" w:type="dxa"/>
            <w:gridSpan w:val="11"/>
            <w:shd w:val="clear" w:color="FFFFFF" w:fill="auto"/>
            <w:textDirection w:val="lrTb"/>
            <w:vAlign w:val="bottom"/>
          </w:tcPr>
          <w:p>
            <w:pPr>
              <w:wordWrap w:val="1"/>
              <w:jc w:val="both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 xml:space="preserve">              2.3.1. Передать Покупателю имущество по акту приема-передачи.</w:t>
            </w:r>
          </w:p>
        </w:tc>
      </w:tr>
      <w:tr>
        <w:trPr>
          <w:trHeight w:val="735" w:hRule="exact"/>
        </w:trPr>
        <w:tc>
          <w:tcPr>
            <w:tcW w:w="10395" w:type="dxa"/>
            <w:gridSpan w:val="11"/>
            <w:shd w:val="clear" w:color="FFFFFF" w:fill="auto"/>
            <w:textDirection w:val="lrTb"/>
            <w:vAlign w:val="bottom"/>
          </w:tcPr>
          <w:p>
            <w:pPr>
              <w:wordWrap w:val="1"/>
              <w:jc w:val="both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 xml:space="preserve">              2.3.2. Передать Покупателю по акту приема-передачи все необходимые документы для регистрации перехода права собственности на выигранное на открытых торгах имущество в течение 30 (тридцати) рабочих дней с момента поступления на расчетный счет Продавца денежных средств в соответствии с настоящим договором.</w:t>
            </w:r>
          </w:p>
        </w:tc>
      </w:tr>
      <w:tr>
        <w:trPr>
          <w:trHeight w:val="735" w:hRule="exact"/>
        </w:trPr>
        <w:tc>
          <w:tcPr>
            <w:tcW w:w="10395" w:type="dxa"/>
            <w:gridSpan w:val="11"/>
            <w:shd w:val="clear" w:color="FFFFFF" w:fill="auto"/>
            <w:textDirection w:val="lrTb"/>
            <w:vAlign w:val="bottom"/>
          </w:tcPr>
          <w:p>
            <w:pPr>
              <w:wordWrap w:val="1"/>
              <w:jc w:val="both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 xml:space="preserve">              2.3.3. Расходы, связанные с государственной регистрацией имущества, уведомлением сособственников о преимуществом праве покупки и соблюдением правил оформления сделки по продаже доли, и иные расходы по сделке несет «Покупатель».</w:t>
            </w:r>
          </w:p>
        </w:tc>
      </w:tr>
      <w:tr>
        <w:trPr>
          <w:trHeight w:val="300" w:hRule="exact"/>
        </w:trPr>
        <w:tc>
          <w:tcPr>
            <w:tcW w:w="10395" w:type="dxa"/>
            <w:gridSpan w:val="11"/>
            <w:shd w:val="clear" w:color="FFFFFF" w:fill="auto"/>
            <w:textDirection w:val="lrTb"/>
            <w:vAlign w:val="bottom"/>
          </w:tcPr>
          <w:p>
            <w:pPr>
              <w:wordWrap w:val="1"/>
              <w:jc w:val="both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 xml:space="preserve">              2.4. Покупатель обязан:</w:t>
            </w:r>
          </w:p>
        </w:tc>
      </w:tr>
      <w:tr>
        <w:trPr>
          <w:trHeight w:val="300" w:hRule="exact"/>
        </w:trPr>
        <w:tc>
          <w:tcPr>
            <w:tcW w:w="10395" w:type="dxa"/>
            <w:gridSpan w:val="11"/>
            <w:shd w:val="clear" w:color="FFFFFF" w:fill="auto"/>
            <w:textDirection w:val="lrTb"/>
            <w:vAlign w:val="bottom"/>
          </w:tcPr>
          <w:p>
            <w:pPr>
              <w:wordWrap w:val="1"/>
              <w:jc w:val="both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 xml:space="preserve">              2.4.1. Оплатить полную стоимость имущества в соответствии с основным договором.</w:t>
            </w:r>
          </w:p>
        </w:tc>
      </w:tr>
      <w:tr>
        <w:trPr>
          <w:trHeight w:val="495" w:hRule="exact"/>
        </w:trPr>
        <w:tc>
          <w:tcPr>
            <w:tcW w:w="10395" w:type="dxa"/>
            <w:gridSpan w:val="11"/>
            <w:shd w:val="clear" w:color="FFFFFF" w:fill="auto"/>
            <w:textDirection w:val="lrTb"/>
            <w:vAlign w:val="bottom"/>
          </w:tcPr>
          <w:p>
            <w:pPr>
              <w:wordWrap w:val="1"/>
              <w:jc w:val="both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 xml:space="preserve">              2.4.2. В течение 30 (тридцати) рабочих дней со дня исполнения всех своих обязательств, предусмотренных настоящим договором, принять от Продавца имущество по акту приема-передачи.</w:t>
            </w:r>
          </w:p>
        </w:tc>
      </w:tr>
      <w:tr>
        <w:trPr>
          <w:trHeight w:val="300" w:hRule="exact"/>
        </w:trPr>
        <w:tc>
          <w:tcPr>
            <w:tcW w:w="10395" w:type="dxa"/>
            <w:gridSpan w:val="11"/>
            <w:shd w:val="clear" w:color="FFFFFF" w:fill="auto"/>
            <w:textDirection w:val="lrTb"/>
            <w:vAlign w:val="bottom"/>
          </w:tcPr>
          <w:p>
            <w:pPr>
              <w:wordWrap w:val="1"/>
              <w:jc w:val="both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 xml:space="preserve">              2.4.3. Уплатить государственную пошлину за государственную регистрацию перехода права собственности.</w:t>
            </w:r>
          </w:p>
        </w:tc>
      </w:tr>
      <w:tr>
        <w:trPr>
          <w:trHeight w:val="285" w:hRule="exact"/>
        </w:trPr>
        <w:tc>
          <w:tcPr>
            <w:tcW w:w="10395" w:type="dxa"/>
            <w:gridSpan w:val="11"/>
            <w:shd w:val="clear" w:color="FFFFFF" w:fill="auto"/>
            <w:textDirection w:val="lrTb"/>
            <w:vAlign w:val="bottom"/>
          </w:tcPr>
          <w:p>
            <w:pPr>
              <w:wordWrap w:val="1"/>
              <w:jc w:val="left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 xml:space="preserve">              2.4.4. Осуществить государственную регистрацию перехода права собственности на имущество к Покупателю.</w:t>
            </w:r>
          </w:p>
        </w:tc>
      </w:tr>
      <w:tr>
        <w:trPr>
          <w:trHeight w:val="285" w:hRule="exact"/>
        </w:trPr>
        <w:tc>
          <w:tcPr>
            <w:tcW w:w="10395" w:type="dxa"/>
            <w:gridSpan w:val="11"/>
            <w:shd w:val="clear" w:color="FFFFFF" w:fill="auto"/>
            <w:textDirection w:val="lrTb"/>
            <w:vAlign w:val="bottom"/>
          </w:tcPr>
          <w:p>
            <w:pPr>
              <w:wordWrap w:val="1"/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sz w:val="20"/>
                <w:szCs w:val="20"/>
              </w:rPr>
              <w:t>3. Ответственность Сторон</w:t>
            </w:r>
          </w:p>
        </w:tc>
      </w:tr>
      <w:tr>
        <w:trPr>
          <w:trHeight w:val="510" w:hRule="exact"/>
        </w:trPr>
        <w:tc>
          <w:tcPr>
            <w:tcW w:w="10395" w:type="dxa"/>
            <w:gridSpan w:val="11"/>
            <w:shd w:val="clear" w:color="FFFFFF" w:fill="auto"/>
            <w:textDirection w:val="lrTb"/>
            <w:vAlign w:val="bottom"/>
          </w:tcPr>
          <w:p>
            <w:pPr>
              <w:wordWrap w:val="1"/>
              <w:jc w:val="both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 xml:space="preserve">               3.1. В случае, если одна из Сторон будет уклоняться от заключения Основного договора, то уклоняющаяся Сторона должна будет оплатить добросовестной Стороне штраф в размере суммы задатка.</w:t>
            </w:r>
          </w:p>
        </w:tc>
      </w:tr>
      <w:tr>
        <w:trPr>
          <w:trHeight w:val="285" w:hRule="exact"/>
        </w:trPr>
        <w:tc>
          <w:tcPr>
            <w:tcW w:w="10395" w:type="dxa"/>
            <w:gridSpan w:val="11"/>
            <w:shd w:val="clear" w:color="FFFFFF" w:fill="auto"/>
            <w:textDirection w:val="lrTb"/>
            <w:vAlign w:val="bottom"/>
          </w:tcPr>
          <w:p>
            <w:pPr>
              <w:wordWrap w:val="1"/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sz w:val="20"/>
                <w:szCs w:val="20"/>
              </w:rPr>
              <w:t>4. Разрешение споров</w:t>
            </w:r>
          </w:p>
        </w:tc>
      </w:tr>
      <w:tr>
        <w:trPr>
          <w:trHeight w:val="810" w:hRule="exact"/>
        </w:trPr>
        <w:tc>
          <w:tcPr>
            <w:tcW w:w="10395" w:type="dxa"/>
            <w:gridSpan w:val="11"/>
            <w:shd w:val="clear" w:color="FFFFFF" w:fill="auto"/>
            <w:textDirection w:val="lrTb"/>
            <w:vAlign w:val="bottom"/>
          </w:tcPr>
          <w:p>
            <w:pPr>
              <w:wordWrap w:val="1"/>
              <w:jc w:val="both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 xml:space="preserve">                4.1. Все споры и разногласия, которые могут возникнуть между Сторонами по вопросам, не нашедшим своего разрешения в тексте настоящего Договора, будут разрешаться путем переговоров на основе действующего законодательства Российской Федерации.</w:t>
            </w:r>
          </w:p>
        </w:tc>
      </w:tr>
      <w:tr>
        <w:trPr>
          <w:trHeight w:val="540" w:hRule="exact"/>
        </w:trPr>
        <w:tc>
          <w:tcPr>
            <w:tcW w:w="10395" w:type="dxa"/>
            <w:gridSpan w:val="11"/>
            <w:shd w:val="clear" w:color="FFFFFF" w:fill="auto"/>
            <w:textDirection w:val="lrTb"/>
            <w:vAlign w:val="bottom"/>
          </w:tcPr>
          <w:p>
            <w:pPr>
              <w:wordWrap w:val="1"/>
              <w:jc w:val="both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 xml:space="preserve">                4.2. При невозможности урегулирования спорных вопросов в процессе переговоров споры разрешаются в суде в порядке, установленном действующим законодательством Российской Федерации.</w:t>
            </w:r>
          </w:p>
        </w:tc>
      </w:tr>
      <w:tr>
        <w:trPr>
          <w:trHeight w:val="345" w:hRule="exact"/>
        </w:trPr>
        <w:tc>
          <w:tcPr>
            <w:tcW w:w="10395" w:type="dxa"/>
            <w:gridSpan w:val="11"/>
            <w:shd w:val="clear" w:color="FFFFFF" w:fill="auto"/>
            <w:textDirection w:val="lrTb"/>
            <w:vAlign w:val="bottom"/>
          </w:tcPr>
          <w:p>
            <w:pPr>
              <w:wordWrap w:val="1"/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sz w:val="20"/>
                <w:szCs w:val="20"/>
              </w:rPr>
              <w:t>5. Заключительные положения</w:t>
            </w:r>
          </w:p>
        </w:tc>
      </w:tr>
      <w:tr>
        <w:trPr>
          <w:trHeight w:val="750" w:hRule="exact"/>
        </w:trPr>
        <w:tc>
          <w:tcPr>
            <w:tcW w:w="10395" w:type="dxa"/>
            <w:gridSpan w:val="11"/>
            <w:shd w:val="clear" w:color="FFFFFF" w:fill="auto"/>
            <w:textDirection w:val="lrTb"/>
            <w:vAlign w:val="bottom"/>
          </w:tcPr>
          <w:p>
            <w:pPr>
              <w:wordWrap w:val="1"/>
              <w:jc w:val="both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 xml:space="preserve">                5.1. Настоящий договор является предварительным и содержит основные условия для заключения Основного договора купли-продажи, который стороны обязуются заключить в срок не позднее 26.08.2023.</w:t>
            </w:r>
          </w:p>
        </w:tc>
      </w:tr>
      <w:tr>
        <w:trPr>
          <w:trHeight w:val="720" w:hRule="exact"/>
        </w:trPr>
        <w:tc>
          <w:tcPr>
            <w:tcW w:w="10395" w:type="dxa"/>
            <w:gridSpan w:val="11"/>
            <w:shd w:val="clear" w:color="FFFFFF" w:fill="auto"/>
            <w:textDirection w:val="lrTb"/>
            <w:vAlign w:val="bottom"/>
          </w:tcPr>
          <w:p>
            <w:pPr>
              <w:wordWrap w:val="1"/>
              <w:jc w:val="both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 xml:space="preserve">               5.2. Настоящий договор содержит весь объем соглашений между сторонами в отношении предмета настоящего договора, отменяет и делает недействительными все иные обязательства, которые могли быть приняты и сделаны сторонами в устной или письменной форме до заключения настоящего договора.</w:t>
            </w:r>
          </w:p>
        </w:tc>
      </w:tr>
      <w:tr>
        <w:trPr>
          <w:trHeight w:val="285" w:hRule="exact"/>
        </w:trPr>
        <w:tc>
          <w:tcPr>
            <w:tcW w:w="10395" w:type="dxa"/>
            <w:gridSpan w:val="11"/>
            <w:shd w:val="clear" w:color="FFFFFF" w:fill="auto"/>
            <w:textDirection w:val="lrTb"/>
            <w:vAlign w:val="bottom"/>
          </w:tcPr>
          <w:p>
            <w:pPr>
              <w:wordWrap w:val="1"/>
              <w:jc w:val="both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 xml:space="preserve">               5.3. Настоящий договор составлен в двух одинаковых экземплярах, по одному для каждой Стороны.</w:t>
            </w:r>
          </w:p>
        </w:tc>
      </w:tr>
      <w:tr>
        <w:trPr>
          <w:trHeight w:val="555" w:hRule="exact"/>
        </w:trPr>
        <w:tc>
          <w:tcPr>
            <w:tcW w:w="10395" w:type="dxa"/>
            <w:gridSpan w:val="11"/>
            <w:shd w:val="clear" w:color="FFFFFF" w:fill="auto"/>
            <w:textDirection w:val="lrTb"/>
            <w:vAlign w:val="bottom"/>
          </w:tcPr>
          <w:p>
            <w:pPr>
              <w:wordWrap w:val="1"/>
              <w:jc w:val="both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 xml:space="preserve">               5.4. Во всем ином, неоговоренном в настоящем договоре, Стороны руководствуются действующим законодательством РФ.</w:t>
            </w:r>
          </w:p>
        </w:tc>
      </w:tr>
      <w:tr>
        <w:trPr>
          <w:trHeight w:val="555" w:hRule="exact"/>
        </w:trPr>
        <w:tc>
          <w:tcPr>
            <w:tcW w:w="10395" w:type="dxa"/>
            <w:gridSpan w:val="11"/>
            <w:shd w:val="clear" w:color="FFFFFF" w:fill="auto"/>
            <w:textDirection w:val="lrTb"/>
            <w:vAlign w:val="bottom"/>
          </w:tcPr>
          <w:p>
            <w:pPr>
              <w:wordWrap w:val="1"/>
              <w:jc w:val="both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 xml:space="preserve">                5.5. Настоящий договор вступает в силу с момента подписания и действует до полного выполнения Сторонами своих обязательств по настоящему договору.</w:t>
            </w:r>
          </w:p>
        </w:tc>
      </w:tr>
      <w:tr>
        <w:trPr>
          <w:trHeight w:val="285" w:hRule="exact"/>
        </w:trPr>
        <w:tc>
          <w:tcPr>
            <w:tcW w:w="10395" w:type="dxa"/>
            <w:gridSpan w:val="11"/>
            <w:shd w:val="clear" w:color="FFFFFF" w:fill="auto"/>
            <w:textDirection w:val="lrTb"/>
            <w:vAlign w:val="bottom"/>
          </w:tcPr>
          <w:p>
            <w:pPr>
              <w:wordWrap w:val="1"/>
              <w:jc w:val="both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 xml:space="preserve">               5.6. Договор Сторонами прочитан, последствия заключаемой сделки сторонам известны.</w:t>
            </w:r>
          </w:p>
        </w:tc>
      </w:tr>
      <w:tr>
        <w:trPr>
          <w:trHeight w:val="285" w:hRule="exact"/>
        </w:trPr>
        <w:tc>
          <w:tcPr>
            <w:tcW w:w="10395" w:type="dxa"/>
            <w:gridSpan w:val="11"/>
            <w:shd w:val="clear" w:color="FFFFFF" w:fill="auto"/>
            <w:textDirection w:val="lrTb"/>
            <w:vAlign w:val="bottom"/>
          </w:tcPr>
          <w:p>
            <w:pPr>
              <w:wordWrap w:val="1"/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sz w:val="20"/>
                <w:szCs w:val="20"/>
              </w:rPr>
              <w:t>6. Реквизиты и подписи Сторон</w:t>
            </w:r>
          </w:p>
        </w:tc>
      </w:tr>
      <w:tr>
        <w:trPr>
          <w:trHeight w:val="285" w:hRule="exact"/>
        </w:trPr>
        <w:tc>
          <w:tcPr>
            <w:tcW w:w="4725" w:type="dxa"/>
            <w:gridSpan w:val="5"/>
            <w:shd w:val="clear" w:color="FFFFFF" w:fill="auto"/>
            <w:textDirection w:val="lrTb"/>
            <w:vAlign w:val="bottom"/>
          </w:tcPr>
          <w:p>
            <w:pPr>
              <w:wordWrap w:val="1"/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sz w:val="20"/>
                <w:szCs w:val="20"/>
              </w:rPr>
              <w:t>Продавец:</w:t>
            </w:r>
          </w:p>
        </w:tc>
        <w:tc>
          <w:tcPr>
            <w:tcW w:w="5670" w:type="dxa"/>
            <w:gridSpan w:val="6"/>
            <w:shd w:val="clear" w:color="FFFFFF" w:fill="auto"/>
            <w:textDirection w:val="lrTb"/>
            <w:vAlign w:val="bottom"/>
          </w:tcPr>
          <w:p>
            <w:pPr>
              <w:wordWrap w:val="1"/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sz w:val="20"/>
                <w:szCs w:val="20"/>
              </w:rPr>
              <w:t>Покупатель:</w:t>
            </w:r>
          </w:p>
        </w:tc>
      </w:tr>
      <w:tr>
        <w:trPr>
          <w:trHeight w:val="285" w:hRule="exact"/>
        </w:trPr>
        <w:tc>
          <w:tcPr>
            <w:tcW w:w="4725" w:type="dxa"/>
            <w:gridSpan w:val="5"/>
            <w:shd w:val="clear" w:color="FFFFFF" w:fill="auto"/>
            <w:textDirection w:val="lrTb"/>
            <w:vAlign w:val="bottom"/>
          </w:tcPr>
          <w:p>
            <w:pPr>
              <w:wordWrap w:val="1"/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sz w:val="20"/>
                <w:szCs w:val="20"/>
              </w:rPr>
              <w:t>Гражданин РФ</w:t>
            </w:r>
          </w:p>
        </w:tc>
        <w:tc>
          <w:tcPr>
            <w:tcW w:w="5670" w:type="dxa"/>
            <w:gridSpan w:val="6"/>
            <w:shd w:val="clear" w:color="FFFFFF" w:fill="auto"/>
            <w:textDirection w:val="lrTb"/>
            <w:vAlign w:val="bottom"/>
          </w:tcPr>
          <w:p>
            <w:pPr>
              <w:wordWrap w:val="1"/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sz w:val="20"/>
                <w:szCs w:val="20"/>
              </w:rPr>
              <w:t>Гражданин РФ</w:t>
            </w:r>
          </w:p>
        </w:tc>
      </w:tr>
      <w:tr>
        <w:trPr>
          <w:trHeight w:val="2175" w:hRule="exact"/>
        </w:trPr>
        <w:tc>
          <w:tcPr>
            <w:tcW w:w="4725" w:type="dxa"/>
            <w:gridSpan w:val="5"/>
            <w:shd w:val="clear" w:color="FFFFFF" w:fill="auto"/>
            <w:textDirection w:val="lrTb"/>
            <w:vAlign w:val="bottom"/>
          </w:tcPr>
          <w:p>
            <w:pPr>
              <w:wordWrap w:val="1"/>
              <w:jc w:val="both"/>
              <w:rPr>
                <w:rFonts w:ascii="Times New Roman" w:hAnsi="Times New Roman"/>
                <w:b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sz w:val="20"/>
                <w:szCs w:val="20"/>
              </w:rPr>
              <w:t>Лозовая Ольга Германовна (Кулькина Ольга Германовна) (26.05.1964г.р., место рожд: р. пос. Средняя Ахтуба Волгоградской обл., адрес рег: 404147, Волгоградская обл, Среднеахтубинский р-н, Суходол х, Труда ул, д. 8, кв. 2, СНИЛС01452983546, ИНН 342802449662, паспорт РФ серия 1803, номер 322624, выдан 25.06.2009, кем выдан ГУ МВД РОССИИ ПО ВОЛГОГРАДСКОЙ ОБЛАСТИ, код подразделения 340-038)</w:t>
            </w:r>
          </w:p>
        </w:tc>
        <w:tc>
          <w:tcPr>
            <w:tcW w:w="5670" w:type="dxa"/>
            <w:gridSpan w:val="6"/>
            <w:vMerge w:val="restart"/>
            <w:shd w:val="clear" w:color="FFFFFF" w:fill="auto"/>
            <w:textDirection w:val="lrTb"/>
            <w:vAlign w:val="top"/>
          </w:tcPr>
          <w:p>
            <w:pPr>
              <w:wordWrap w:val="1"/>
              <w:jc w:val="both"/>
              <w:rPr>
                <w:rFonts w:ascii="Times New Roman" w:hAnsi="Times New Roman"/>
                <w:b/>
                <w:sz w:val="20"/>
                <w:szCs w:val="20"/>
              </w:rPr>
            </w:pPr>
          </w:p>
        </w:tc>
      </w:tr>
      <w:tr>
        <w:trPr>
          <w:trHeight w:val="300" w:hRule="exact"/>
        </w:trPr>
        <w:tc>
          <w:tcPr>
            <w:tcW w:w="4725" w:type="dxa"/>
            <w:gridSpan w:val="5"/>
            <w:shd w:val="clear" w:color="FFFFFF" w:fill="auto"/>
            <w:textDirection w:val="lrTb"/>
            <w:vAlign w:val="bottom"/>
          </w:tcPr>
          <w:p>
            <w:pPr>
              <w:wordWrap w:val="1"/>
              <w:jc w:val="both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Реквизиты</w:t>
            </w:r>
          </w:p>
        </w:tc>
        <w:tc>
          <w:tcPr>
            <w:tcW w:w="5670" w:type="dxa"/>
            <w:gridSpan w:val="6"/>
            <w:vMerge w:val="continue"/>
            <w:shd w:val="clear" w:color="FFFFFF" w:fill="auto"/>
            <w:textDirection w:val="lrTb"/>
            <w:vAlign w:val="top"/>
          </w:tcPr>
          <w:p>
            <w:pPr>
              <w:wordWrap w:val="1"/>
              <w:jc w:val="both"/>
              <w:rPr>
                <w:rFonts w:ascii="Times New Roman" w:hAnsi="Times New Roman"/>
                <w:b/>
                <w:sz w:val="20"/>
                <w:szCs w:val="20"/>
              </w:rPr>
            </w:pPr>
          </w:p>
        </w:tc>
      </w:tr>
      <w:tr>
        <w:trPr>
          <w:trHeight w:val="495" w:hRule="exact"/>
        </w:trPr>
        <w:tc>
          <w:tcPr>
            <w:tcW w:w="4725" w:type="dxa"/>
            <w:gridSpan w:val="5"/>
            <w:shd w:val="clear" w:color="FFFFFF" w:fill="auto"/>
            <w:textDirection w:val="lrTb"/>
            <w:vAlign w:val="bottom"/>
          </w:tcPr>
          <w:p>
            <w:pPr>
              <w:wordWrap w:val="1"/>
              <w:jc w:val="left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Арбитражный управляющий Стоян Роман Сергеевич (ИНН 745310520162)</w:t>
            </w:r>
          </w:p>
        </w:tc>
        <w:tc>
          <w:tcPr>
            <w:tcW w:w="5670" w:type="dxa"/>
            <w:gridSpan w:val="6"/>
            <w:vMerge w:val="continue"/>
            <w:shd w:val="clear" w:color="FFFFFF" w:fill="auto"/>
            <w:textDirection w:val="lrTb"/>
            <w:vAlign w:val="top"/>
          </w:tcPr>
          <w:p>
            <w:pPr>
              <w:wordWrap w:val="1"/>
              <w:jc w:val="both"/>
              <w:rPr>
                <w:rFonts w:ascii="Times New Roman" w:hAnsi="Times New Roman"/>
                <w:b/>
                <w:sz w:val="20"/>
                <w:szCs w:val="20"/>
              </w:rPr>
            </w:pPr>
          </w:p>
        </w:tc>
      </w:tr>
      <w:tr>
        <w:trPr>
          <w:trHeight w:val="1215" w:hRule="exact"/>
        </w:trPr>
        <w:tc>
          <w:tcPr>
            <w:tcW w:w="4725" w:type="dxa"/>
            <w:gridSpan w:val="5"/>
            <w:shd w:val="clear" w:color="FFFFFF" w:fill="auto"/>
            <w:textDirection w:val="lrTb"/>
            <w:vAlign w:val="bottom"/>
          </w:tcPr>
          <w:p>
            <w:pPr>
              <w:wordWrap w:val="1"/>
              <w:jc w:val="both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Р/СЧ 40802810672000066576</w:t>
              <w:br/>
              <w:t>
БИК 047501602</w:t>
              <w:br/>
              <w:t>
КР/СЧ 30101810700000000602</w:t>
              <w:br/>
              <w:t>
НАИМЕНОВАНИЕ БАНКА ЧЕЛЯБИНСКОЕ ОСБ N 8597</w:t>
            </w:r>
          </w:p>
        </w:tc>
        <w:tc>
          <w:tcPr>
            <w:tcW w:w="5670" w:type="dxa"/>
            <w:gridSpan w:val="6"/>
            <w:vMerge w:val="continue"/>
            <w:shd w:val="clear" w:color="FFFFFF" w:fill="auto"/>
            <w:textDirection w:val="lrTb"/>
            <w:vAlign w:val="top"/>
          </w:tcPr>
          <w:p>
            <w:pPr>
              <w:wordWrap w:val="1"/>
              <w:jc w:val="both"/>
              <w:rPr>
                <w:rFonts w:ascii="Times New Roman" w:hAnsi="Times New Roman"/>
                <w:b/>
                <w:sz w:val="20"/>
                <w:szCs w:val="20"/>
              </w:rPr>
            </w:pPr>
          </w:p>
        </w:tc>
      </w:tr>
      <w:tr>
        <w:trPr>
          <w:trHeight w:val="300" w:hRule="exact"/>
        </w:trPr>
        <w:tc>
          <w:tcPr>
            <w:tcW w:w="945" w:type="dxa"/>
            <w:shd w:val="clear" w:color="FFFFFF" w:fill="auto"/>
            <w:textDirection w:val="lrTb"/>
            <w:vAlign w:val="bottom"/>
          </w:tcPr>
          <w:p>
            <w:pPr>
              <w:wordWrap w:val="1"/>
              <w:jc w:val="both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945" w:type="dxa"/>
            <w:shd w:val="clear" w:color="FFFFFF" w:fill="auto"/>
            <w:textDirection w:val="lrTb"/>
            <w:vAlign w:val="bottom"/>
          </w:tcPr>
          <w:p>
            <w:pPr>
              <w:wordWrap w:val="1"/>
              <w:jc w:val="both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945" w:type="dxa"/>
            <w:shd w:val="clear" w:color="FFFFFF" w:fill="auto"/>
            <w:textDirection w:val="lrTb"/>
            <w:vAlign w:val="bottom"/>
          </w:tcPr>
          <w:p>
            <w:pPr>
              <w:wordWrap w:val="1"/>
              <w:jc w:val="both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945" w:type="dxa"/>
            <w:shd w:val="clear" w:color="FFFFFF" w:fill="auto"/>
            <w:textDirection w:val="lrTb"/>
            <w:vAlign w:val="bottom"/>
          </w:tcPr>
          <w:p>
            <w:pPr>
              <w:wordWrap w:val="1"/>
              <w:jc w:val="both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945" w:type="dxa"/>
            <w:shd w:val="clear" w:color="FFFFFF" w:fill="auto"/>
            <w:textDirection w:val="lrTb"/>
            <w:vAlign w:val="bottom"/>
          </w:tcPr>
          <w:p>
            <w:pPr>
              <w:wordWrap w:val="1"/>
              <w:jc w:val="both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5670" w:type="dxa"/>
            <w:gridSpan w:val="6"/>
            <w:vMerge w:val="continue"/>
            <w:shd w:val="clear" w:color="FFFFFF" w:fill="auto"/>
            <w:textDirection w:val="lrTb"/>
            <w:vAlign w:val="top"/>
          </w:tcPr>
          <w:p>
            <w:pPr>
              <w:wordWrap w:val="1"/>
              <w:jc w:val="both"/>
              <w:rPr>
                <w:rFonts w:ascii="Times New Roman" w:hAnsi="Times New Roman"/>
                <w:b/>
                <w:sz w:val="20"/>
                <w:szCs w:val="20"/>
              </w:rPr>
            </w:pPr>
          </w:p>
        </w:tc>
      </w:tr>
      <w:tr>
        <w:trPr>
          <w:trHeight w:val="300" w:hRule="exact"/>
        </w:trPr>
        <w:tc>
          <w:tcPr>
            <w:tcW w:w="945" w:type="dxa"/>
            <w:shd w:val="clear" w:color="FFFFFF" w:fill="auto"/>
            <w:textDirection w:val="lrTb"/>
            <w:vAlign w:val="bottom"/>
          </w:tcPr>
          <w:p>
            <w:pPr>
              <w:wordWrap w:val="1"/>
              <w:jc w:val="both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945" w:type="dxa"/>
            <w:shd w:val="clear" w:color="FFFFFF" w:fill="auto"/>
            <w:textDirection w:val="lrTb"/>
            <w:vAlign w:val="bottom"/>
          </w:tcPr>
          <w:p>
            <w:pPr>
              <w:wordWrap w:val="1"/>
              <w:jc w:val="both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945" w:type="dxa"/>
            <w:shd w:val="clear" w:color="FFFFFF" w:fill="auto"/>
            <w:textDirection w:val="lrTb"/>
            <w:vAlign w:val="bottom"/>
          </w:tcPr>
          <w:p>
            <w:pPr>
              <w:wordWrap w:val="1"/>
              <w:jc w:val="both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945" w:type="dxa"/>
            <w:shd w:val="clear" w:color="FFFFFF" w:fill="auto"/>
            <w:textDirection w:val="lrTb"/>
            <w:vAlign w:val="bottom"/>
          </w:tcPr>
          <w:p>
            <w:pPr>
              <w:wordWrap w:val="1"/>
              <w:jc w:val="both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945" w:type="dxa"/>
            <w:shd w:val="clear" w:color="FFFFFF" w:fill="auto"/>
            <w:textDirection w:val="lrTb"/>
            <w:vAlign w:val="bottom"/>
          </w:tcPr>
          <w:p>
            <w:pPr>
              <w:wordWrap w:val="1"/>
              <w:jc w:val="both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5670" w:type="dxa"/>
            <w:gridSpan w:val="6"/>
            <w:vMerge w:val="continue"/>
            <w:shd w:val="clear" w:color="FFFFFF" w:fill="auto"/>
            <w:textDirection w:val="lrTb"/>
            <w:vAlign w:val="top"/>
          </w:tcPr>
          <w:p>
            <w:pPr>
              <w:wordWrap w:val="1"/>
              <w:jc w:val="both"/>
              <w:rPr>
                <w:rFonts w:ascii="Times New Roman" w:hAnsi="Times New Roman"/>
                <w:b/>
                <w:sz w:val="20"/>
                <w:szCs w:val="20"/>
              </w:rPr>
            </w:pPr>
          </w:p>
        </w:tc>
      </w:tr>
      <w:tr>
        <w:trPr>
          <w:trHeight w:val="300" w:hRule="exact"/>
        </w:trPr>
        <w:tc>
          <w:tcPr>
            <w:tcW w:w="4725" w:type="dxa"/>
            <w:gridSpan w:val="5"/>
            <w:shd w:val="clear" w:color="FFFFFF" w:fill="auto"/>
            <w:textDirection w:val="lrTb"/>
            <w:vAlign w:val="bottom"/>
          </w:tcPr>
          <w:p>
            <w:pPr>
              <w:wordWrap w:val="1"/>
              <w:jc w:val="both"/>
              <w:rPr>
                <w:rFonts w:ascii="Times New Roman" w:hAnsi="Times New Roman"/>
                <w:b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sz w:val="20"/>
                <w:szCs w:val="20"/>
              </w:rPr>
              <w:t>Финансовый управляющий</w:t>
            </w:r>
          </w:p>
        </w:tc>
        <w:tc>
          <w:tcPr>
            <w:tcW w:w="945" w:type="dxa"/>
            <w:shd w:val="clear" w:color="FFFFFF" w:fill="auto"/>
            <w:textDirection w:val="lrTb"/>
            <w:vAlign w:val="bottom"/>
          </w:tcPr>
          <w:p>
            <w:pPr>
              <w:wordWrap w:val="1"/>
              <w:jc w:val="both"/>
              <w:rPr>
                <w:rFonts w:ascii="Times New Roman" w:hAnsi="Times New Roman"/>
                <w:sz w:val="22"/>
                <w:szCs w:val="22"/>
              </w:rPr>
            </w:pPr>
          </w:p>
        </w:tc>
        <w:tc>
          <w:tcPr>
            <w:tcW w:w="945" w:type="dxa"/>
            <w:shd w:val="clear" w:color="FFFFFF" w:fill="auto"/>
            <w:textDirection w:val="lrTb"/>
            <w:vAlign w:val="bottom"/>
          </w:tcPr>
          <w:p>
            <w:pPr>
              <w:wordWrap w:val="1"/>
              <w:jc w:val="both"/>
              <w:rPr>
                <w:rFonts w:ascii="Times New Roman" w:hAnsi="Times New Roman"/>
                <w:sz w:val="22"/>
                <w:szCs w:val="22"/>
              </w:rPr>
            </w:pPr>
          </w:p>
        </w:tc>
        <w:tc>
          <w:tcPr>
            <w:tcW w:w="945" w:type="dxa"/>
            <w:shd w:val="clear" w:color="FFFFFF" w:fill="auto"/>
            <w:textDirection w:val="lrTb"/>
            <w:vAlign w:val="bottom"/>
          </w:tcPr>
          <w:p>
            <w:pPr>
              <w:wordWrap w:val="1"/>
              <w:jc w:val="both"/>
              <w:rPr>
                <w:rFonts w:ascii="Times New Roman" w:hAnsi="Times New Roman"/>
                <w:sz w:val="22"/>
                <w:szCs w:val="22"/>
              </w:rPr>
            </w:pPr>
          </w:p>
        </w:tc>
        <w:tc>
          <w:tcPr>
            <w:tcW w:w="945" w:type="dxa"/>
            <w:shd w:val="clear" w:color="FFFFFF" w:fill="auto"/>
            <w:textDirection w:val="lrTb"/>
            <w:vAlign w:val="bottom"/>
          </w:tcPr>
          <w:p>
            <w:pPr>
              <w:wordWrap w:val="1"/>
              <w:jc w:val="both"/>
              <w:rPr>
                <w:rFonts w:ascii="Times New Roman" w:hAnsi="Times New Roman"/>
                <w:sz w:val="22"/>
                <w:szCs w:val="22"/>
              </w:rPr>
            </w:pPr>
          </w:p>
        </w:tc>
        <w:tc>
          <w:tcPr>
            <w:tcW w:w="945" w:type="dxa"/>
            <w:shd w:val="clear" w:color="FFFFFF" w:fill="auto"/>
            <w:textDirection w:val="lrTb"/>
            <w:vAlign w:val="bottom"/>
          </w:tcPr>
          <w:p>
            <w:pPr>
              <w:wordWrap w:val="1"/>
              <w:jc w:val="both"/>
              <w:rPr>
                <w:rFonts w:ascii="Times New Roman" w:hAnsi="Times New Roman"/>
                <w:sz w:val="22"/>
                <w:szCs w:val="22"/>
              </w:rPr>
            </w:pPr>
          </w:p>
        </w:tc>
        <w:tc>
          <w:tcPr>
            <w:tcW w:w="945" w:type="dxa"/>
            <w:shd w:val="clear" w:color="FFFFFF" w:fill="auto"/>
            <w:textDirection w:val="lrTb"/>
            <w:vAlign w:val="bottom"/>
          </w:tcPr>
          <w:p>
            <w:pPr>
              <w:wordWrap w:val="1"/>
              <w:jc w:val="both"/>
              <w:rPr>
                <w:rFonts w:ascii="Times New Roman" w:hAnsi="Times New Roman"/>
                <w:sz w:val="22"/>
                <w:szCs w:val="22"/>
              </w:rPr>
            </w:pPr>
          </w:p>
        </w:tc>
      </w:tr>
      <w:tr>
        <w:trPr>
          <w:trHeight w:val="300" w:hRule="exact"/>
        </w:trPr>
        <w:tc>
          <w:tcPr>
            <w:tcW w:w="4725" w:type="dxa"/>
            <w:gridSpan w:val="5"/>
            <w:shd w:val="clear" w:color="FFFFFF" w:fill="auto"/>
            <w:textDirection w:val="lrTb"/>
            <w:vAlign w:val="bottom"/>
          </w:tcPr>
          <w:p>
            <w:pPr>
              <w:wordWrap w:val="1"/>
              <w:jc w:val="both"/>
              <w:rPr>
                <w:rFonts w:ascii="Times New Roman" w:hAnsi="Times New Roman"/>
                <w:b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sz w:val="20"/>
                <w:szCs w:val="20"/>
              </w:rPr>
              <w:t>Лозовой Ольги Германовны</w:t>
            </w:r>
          </w:p>
        </w:tc>
        <w:tc>
          <w:tcPr>
            <w:tcW w:w="945" w:type="dxa"/>
            <w:shd w:val="clear" w:color="FFFFFF" w:fill="auto"/>
            <w:textDirection w:val="lrTb"/>
            <w:vAlign w:val="bottom"/>
          </w:tcPr>
          <w:p>
            <w:pPr>
              <w:wordWrap w:val="1"/>
              <w:jc w:val="both"/>
              <w:rPr>
                <w:rFonts w:ascii="Times New Roman" w:hAnsi="Times New Roman"/>
                <w:sz w:val="22"/>
                <w:szCs w:val="22"/>
              </w:rPr>
            </w:pPr>
          </w:p>
        </w:tc>
        <w:tc>
          <w:tcPr>
            <w:tcW w:w="945" w:type="dxa"/>
            <w:shd w:val="clear" w:color="FFFFFF" w:fill="auto"/>
            <w:textDirection w:val="lrTb"/>
            <w:vAlign w:val="bottom"/>
          </w:tcPr>
          <w:p>
            <w:pPr>
              <w:wordWrap w:val="1"/>
              <w:jc w:val="both"/>
              <w:rPr>
                <w:rFonts w:ascii="Times New Roman" w:hAnsi="Times New Roman"/>
                <w:sz w:val="22"/>
                <w:szCs w:val="22"/>
              </w:rPr>
            </w:pPr>
          </w:p>
        </w:tc>
        <w:tc>
          <w:tcPr>
            <w:tcW w:w="945" w:type="dxa"/>
            <w:shd w:val="clear" w:color="FFFFFF" w:fill="auto"/>
            <w:textDirection w:val="lrTb"/>
            <w:vAlign w:val="bottom"/>
          </w:tcPr>
          <w:p>
            <w:pPr>
              <w:wordWrap w:val="1"/>
              <w:jc w:val="both"/>
              <w:rPr>
                <w:rFonts w:ascii="Times New Roman" w:hAnsi="Times New Roman"/>
                <w:sz w:val="22"/>
                <w:szCs w:val="22"/>
              </w:rPr>
            </w:pPr>
          </w:p>
        </w:tc>
        <w:tc>
          <w:tcPr>
            <w:tcW w:w="945" w:type="dxa"/>
            <w:shd w:val="clear" w:color="FFFFFF" w:fill="auto"/>
            <w:textDirection w:val="lrTb"/>
            <w:vAlign w:val="bottom"/>
          </w:tcPr>
          <w:p>
            <w:pPr>
              <w:wordWrap w:val="1"/>
              <w:jc w:val="both"/>
              <w:rPr>
                <w:rFonts w:ascii="Times New Roman" w:hAnsi="Times New Roman"/>
                <w:sz w:val="22"/>
                <w:szCs w:val="22"/>
              </w:rPr>
            </w:pPr>
          </w:p>
        </w:tc>
        <w:tc>
          <w:tcPr>
            <w:tcW w:w="945" w:type="dxa"/>
            <w:shd w:val="clear" w:color="FFFFFF" w:fill="auto"/>
            <w:textDirection w:val="lrTb"/>
            <w:vAlign w:val="bottom"/>
          </w:tcPr>
          <w:p>
            <w:pPr>
              <w:wordWrap w:val="1"/>
              <w:jc w:val="both"/>
              <w:rPr>
                <w:rFonts w:ascii="Times New Roman" w:hAnsi="Times New Roman"/>
                <w:sz w:val="22"/>
                <w:szCs w:val="22"/>
              </w:rPr>
            </w:pPr>
          </w:p>
        </w:tc>
        <w:tc>
          <w:tcPr>
            <w:tcW w:w="945" w:type="dxa"/>
            <w:shd w:val="clear" w:color="FFFFFF" w:fill="auto"/>
            <w:textDirection w:val="lrTb"/>
            <w:vAlign w:val="bottom"/>
          </w:tcPr>
          <w:p>
            <w:pPr>
              <w:wordWrap w:val="1"/>
              <w:jc w:val="both"/>
              <w:rPr>
                <w:rFonts w:ascii="Times New Roman" w:hAnsi="Times New Roman"/>
                <w:sz w:val="22"/>
                <w:szCs w:val="22"/>
              </w:rPr>
            </w:pPr>
          </w:p>
        </w:tc>
      </w:tr>
      <w:tr>
        <w:trPr>
          <w:trHeight w:val="300" w:hRule="exact"/>
        </w:trPr>
        <w:tc>
          <w:tcPr>
            <w:tcW w:w="945" w:type="dxa"/>
            <w:shd w:val="clear" w:color="FFFFFF" w:fill="auto"/>
            <w:textDirection w:val="lrTb"/>
            <w:vAlign w:val="bottom"/>
          </w:tcPr>
          <w:p>
            <w:pPr>
              <w:wordWrap w:val="1"/>
              <w:jc w:val="both"/>
              <w:rPr>
                <w:rFonts w:ascii="Times New Roman" w:hAnsi="Times New Roman"/>
                <w:b/>
                <w:sz w:val="20"/>
                <w:szCs w:val="20"/>
              </w:rPr>
            </w:pPr>
          </w:p>
        </w:tc>
        <w:tc>
          <w:tcPr>
            <w:tcW w:w="945" w:type="dxa"/>
            <w:shd w:val="clear" w:color="FFFFFF" w:fill="auto"/>
            <w:textDirection w:val="lrTb"/>
            <w:vAlign w:val="bottom"/>
          </w:tcPr>
          <w:p>
            <w:pPr>
              <w:wordWrap w:val="1"/>
              <w:jc w:val="both"/>
              <w:rPr>
                <w:rFonts w:ascii="Times New Roman" w:hAnsi="Times New Roman"/>
                <w:sz w:val="22"/>
                <w:szCs w:val="22"/>
              </w:rPr>
            </w:pPr>
          </w:p>
        </w:tc>
        <w:tc>
          <w:tcPr>
            <w:tcW w:w="945" w:type="dxa"/>
            <w:shd w:val="clear" w:color="FFFFFF" w:fill="auto"/>
            <w:textDirection w:val="lrTb"/>
            <w:vAlign w:val="bottom"/>
          </w:tcPr>
          <w:p>
            <w:pPr>
              <w:wordWrap w:val="1"/>
              <w:jc w:val="both"/>
              <w:rPr>
                <w:rFonts w:ascii="Times New Roman" w:hAnsi="Times New Roman"/>
                <w:sz w:val="22"/>
                <w:szCs w:val="22"/>
              </w:rPr>
            </w:pPr>
          </w:p>
        </w:tc>
        <w:tc>
          <w:tcPr>
            <w:tcW w:w="945" w:type="dxa"/>
            <w:shd w:val="clear" w:color="FFFFFF" w:fill="auto"/>
            <w:textDirection w:val="lrTb"/>
            <w:vAlign w:val="bottom"/>
          </w:tcPr>
          <w:p>
            <w:pPr>
              <w:wordWrap w:val="1"/>
              <w:jc w:val="both"/>
              <w:rPr>
                <w:rFonts w:ascii="Times New Roman" w:hAnsi="Times New Roman"/>
                <w:sz w:val="22"/>
                <w:szCs w:val="22"/>
              </w:rPr>
            </w:pPr>
          </w:p>
        </w:tc>
        <w:tc>
          <w:tcPr>
            <w:tcW w:w="945" w:type="dxa"/>
            <w:shd w:val="clear" w:color="FFFFFF" w:fill="auto"/>
            <w:textDirection w:val="lrTb"/>
            <w:vAlign w:val="bottom"/>
          </w:tcPr>
          <w:p>
            <w:pPr>
              <w:wordWrap w:val="1"/>
              <w:jc w:val="both"/>
              <w:rPr>
                <w:rFonts w:ascii="Times New Roman" w:hAnsi="Times New Roman"/>
                <w:sz w:val="22"/>
                <w:szCs w:val="22"/>
              </w:rPr>
            </w:pPr>
          </w:p>
        </w:tc>
        <w:tc>
          <w:tcPr>
            <w:tcW w:w="945" w:type="dxa"/>
            <w:shd w:val="clear" w:color="FFFFFF" w:fill="auto"/>
            <w:textDirection w:val="lrTb"/>
            <w:vAlign w:val="bottom"/>
          </w:tcPr>
          <w:p>
            <w:pPr>
              <w:wordWrap w:val="1"/>
              <w:jc w:val="both"/>
              <w:rPr>
                <w:rFonts w:ascii="Times New Roman" w:hAnsi="Times New Roman"/>
                <w:sz w:val="22"/>
                <w:szCs w:val="22"/>
              </w:rPr>
            </w:pPr>
          </w:p>
        </w:tc>
        <w:tc>
          <w:tcPr>
            <w:tcW w:w="945" w:type="dxa"/>
            <w:shd w:val="clear" w:color="FFFFFF" w:fill="auto"/>
            <w:textDirection w:val="lrTb"/>
            <w:vAlign w:val="bottom"/>
          </w:tcPr>
          <w:p>
            <w:pPr>
              <w:wordWrap w:val="1"/>
              <w:jc w:val="both"/>
              <w:rPr>
                <w:rFonts w:ascii="Times New Roman" w:hAnsi="Times New Roman"/>
                <w:sz w:val="22"/>
                <w:szCs w:val="22"/>
              </w:rPr>
            </w:pPr>
          </w:p>
        </w:tc>
        <w:tc>
          <w:tcPr>
            <w:tcW w:w="945" w:type="dxa"/>
            <w:shd w:val="clear" w:color="FFFFFF" w:fill="auto"/>
            <w:textDirection w:val="lrTb"/>
            <w:vAlign w:val="bottom"/>
          </w:tcPr>
          <w:p>
            <w:pPr>
              <w:wordWrap w:val="1"/>
              <w:jc w:val="both"/>
              <w:rPr>
                <w:rFonts w:ascii="Times New Roman" w:hAnsi="Times New Roman"/>
                <w:sz w:val="22"/>
                <w:szCs w:val="22"/>
              </w:rPr>
            </w:pPr>
          </w:p>
        </w:tc>
        <w:tc>
          <w:tcPr>
            <w:tcW w:w="945" w:type="dxa"/>
            <w:shd w:val="clear" w:color="FFFFFF" w:fill="auto"/>
            <w:textDirection w:val="lrTb"/>
            <w:vAlign w:val="bottom"/>
          </w:tcPr>
          <w:p>
            <w:pPr>
              <w:wordWrap w:val="1"/>
              <w:jc w:val="both"/>
              <w:rPr>
                <w:rFonts w:ascii="Times New Roman" w:hAnsi="Times New Roman"/>
                <w:sz w:val="22"/>
                <w:szCs w:val="22"/>
              </w:rPr>
            </w:pPr>
          </w:p>
        </w:tc>
        <w:tc>
          <w:tcPr>
            <w:tcW w:w="945" w:type="dxa"/>
            <w:shd w:val="clear" w:color="FFFFFF" w:fill="auto"/>
            <w:textDirection w:val="lrTb"/>
            <w:vAlign w:val="bottom"/>
          </w:tcPr>
          <w:p>
            <w:pPr>
              <w:wordWrap w:val="1"/>
              <w:jc w:val="both"/>
              <w:rPr>
                <w:rFonts w:ascii="Times New Roman" w:hAnsi="Times New Roman"/>
                <w:sz w:val="22"/>
                <w:szCs w:val="22"/>
              </w:rPr>
            </w:pPr>
          </w:p>
        </w:tc>
        <w:tc>
          <w:tcPr>
            <w:tcW w:w="945" w:type="dxa"/>
            <w:shd w:val="clear" w:color="FFFFFF" w:fill="auto"/>
            <w:textDirection w:val="lrTb"/>
            <w:vAlign w:val="bottom"/>
          </w:tcPr>
          <w:p>
            <w:pPr>
              <w:wordWrap w:val="1"/>
              <w:jc w:val="both"/>
              <w:rPr>
                <w:rFonts w:ascii="Times New Roman" w:hAnsi="Times New Roman"/>
                <w:sz w:val="22"/>
                <w:szCs w:val="22"/>
              </w:rPr>
            </w:pPr>
          </w:p>
        </w:tc>
      </w:tr>
      <w:tr>
        <w:trPr>
          <w:trHeight w:val="1035" w:hRule="exact"/>
        </w:trPr>
        <w:tc>
          <w:tcPr>
            <w:tcW w:w="2835" w:type="dxa"/>
            <w:gridSpan w:val="3"/>
            <w:shd w:val="clear" w:color="FFFFFF" w:fill="auto"/>
            <w:textDirection w:val="lrTb"/>
            <w:vAlign w:val="top"/>
          </w:tcPr>
          <w:p>
            <w:pPr>
              <w:wordWrap w:val="1"/>
              <w:jc w:val="both"/>
              <w:rPr>
                <w:rFonts w:ascii="Times New Roman" w:hAnsi="Times New Roman"/>
                <w:b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sz w:val="20"/>
                <w:szCs w:val="20"/>
              </w:rPr>
              <w:t>Стоян Роман Сергеевич</w:t>
            </w:r>
          </w:p>
        </w:tc>
        <w:tc>
          <w:tcPr>
            <w:tcW w:w="1890" w:type="dxa"/>
            <w:gridSpan w:val="2"/>
            <w:shd w:val="clear" w:color="FFFFFF" w:fill="auto"/>
            <w:textDirection w:val="lrTb"/>
            <w:vAlign w:val="top"/>
          </w:tcPr>
          <w:p>
            <w:pPr>
              <w:wordWrap w:val="1"/>
              <w:jc w:val="both"/>
              <w:rPr>
                <w:rFonts w:ascii="Times New Roman" w:hAnsi="Times New Roman"/>
                <w:sz w:val="22"/>
                <w:szCs w:val="22"/>
              </w:rPr>
            </w:pPr>
            <w:r>
              <w:rPr>
                <w:rFonts w:ascii="Times New Roman" w:hAnsi="Times New Roman"/>
                <w:sz w:val="22"/>
                <w:szCs w:val="22"/>
              </w:rPr>
              <w:t>______________</w:t>
            </w:r>
          </w:p>
        </w:tc>
        <w:tc>
          <w:tcPr>
            <w:tcW w:w="2835" w:type="dxa"/>
            <w:gridSpan w:val="3"/>
            <w:shd w:val="clear" w:color="FFFFFF" w:fill="auto"/>
            <w:textDirection w:val="lrTb"/>
            <w:vAlign w:val="top"/>
          </w:tcPr>
          <w:p>
            <w:pPr>
              <w:wordWrap w:val="1"/>
              <w:jc w:val="both"/>
              <w:rPr>
                <w:rFonts w:ascii="Times New Roman" w:hAnsi="Times New Roman"/>
                <w:b/>
                <w:sz w:val="20"/>
                <w:szCs w:val="20"/>
              </w:rPr>
            </w:pPr>
          </w:p>
        </w:tc>
        <w:tc>
          <w:tcPr>
            <w:tcW w:w="2835" w:type="dxa"/>
            <w:gridSpan w:val="3"/>
            <w:shd w:val="clear" w:color="FFFFFF" w:fill="auto"/>
            <w:textDirection w:val="lrTb"/>
            <w:vAlign w:val="top"/>
          </w:tcPr>
          <w:p>
            <w:pPr>
              <w:wordWrap w:val="1"/>
              <w:jc w:val="both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____________________________</w:t>
            </w:r>
          </w:p>
        </w:tc>
      </w:tr>
    </w:tbl>
    <w:sectPr>
      <w:pgSz w:w="11907" w:h="16839" w:orient="portrait"/>
      <w:pgMar w:top="567" w:right="567" w:bottom="567" w:left="567"/>
    </w:sectPr>
  </w:body>
</w:document>
</file>

<file path=word/settings.xml><?xml version="1.0" encoding="utf-8"?>
<w:settings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view w:val="normal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style w:type="table" w:styleId="TableStyle0">
    <w:name w:val="TableStyle0"/>
    <w:pPr>
      <w:spacing w:after="0" w:line="240" w:lineRule="auto"/>
    </w:pPr>
    <w:rPr>
      <w:rFonts w:ascii="Arial" w:hAnsi="Arial"/>
      <w:sz w:val="16"/>
    </w:rPr>
  </w:style>
</w:styles>
</file>

<file path=word/_rels/document.xml.rels>&#65279;<?xml version="1.0" encoding="UTF-8" standalone="yes"?>
<Relationships xmlns="http://schemas.openxmlformats.org/package/2006/relationships">
	<Relationship Id="rId1" Type="http://schemas.openxmlformats.org/officeDocument/2006/relationships/styles" Target="styles.xml"/>
	<Relationship Id="rId2" Type="http://schemas.openxmlformats.org/officeDocument/2006/relationships/settings" Target="settings.xml"/>
	<Relationship Id="rId8" Type="http://schemas.openxmlformats.org/officeDocument/2006/relationships/header" Target="header1.xml"/>
	<Relationship Id="rId9" Type="http://schemas.openxmlformats.org/officeDocument/2006/relationships/footer" Target="footer1.xml"/>
	<Relationship Id="rId10" Type="http://schemas.openxmlformats.org/officeDocument/2006/relationships/header" Target="header2.xml"/>
	<Relationship Id="rId11" Type="http://schemas.openxmlformats.org/officeDocument/2006/relationships/footer" Target="footer2.xml"/>
</Relationships>
</file>