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80" w:type="dxa"/>
        <w:jc w:val="left"/>
        <w:tblInd w:w="21" w:type="dxa"/>
        <w:tblCellMar>
          <w:top w:w="0" w:type="dxa"/>
          <w:left w:w="0" w:type="dxa"/>
          <w:bottom w:w="0" w:type="dxa"/>
          <w:right w:w="0" w:type="dxa"/>
        </w:tblCellMar>
        <w:tblLook w:val="04a0"/>
      </w:tblPr>
      <w:tblGrid>
        <w:gridCol w:w="924"/>
        <w:gridCol w:w="936"/>
        <w:gridCol w:w="948"/>
        <w:gridCol w:w="948"/>
        <w:gridCol w:w="948"/>
        <w:gridCol w:w="948"/>
        <w:gridCol w:w="936"/>
        <w:gridCol w:w="948"/>
        <w:gridCol w:w="948"/>
        <w:gridCol w:w="948"/>
        <w:gridCol w:w="948"/>
      </w:tblGrid>
      <w:tr>
        <w:trPr>
          <w:trHeight w:val="315" w:hRule="exact"/>
        </w:trPr>
        <w:tc>
          <w:tcPr>
            <w:tcW w:w="10380"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Предварительный договор</w:t>
            </w:r>
          </w:p>
        </w:tc>
      </w:tr>
      <w:tr>
        <w:trPr>
          <w:trHeight w:val="270" w:hRule="exact"/>
        </w:trPr>
        <w:tc>
          <w:tcPr>
            <w:tcW w:w="10380"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купли-продажи</w:t>
            </w:r>
          </w:p>
        </w:tc>
      </w:tr>
      <w:tr>
        <w:trPr>
          <w:trHeight w:val="270" w:hRule="exact"/>
        </w:trPr>
        <w:tc>
          <w:tcPr>
            <w:tcW w:w="9432" w:type="dxa"/>
            <w:gridSpan w:val="10"/>
            <w:tcBorders/>
            <w:shd w:color="FFFFFF" w:fill="auto" w:val="clear"/>
          </w:tcPr>
          <w:p>
            <w:pPr>
              <w:pStyle w:val="Normal"/>
              <w:bidi w:val="0"/>
              <w:spacing w:lineRule="auto" w:line="240" w:before="0" w:after="0"/>
              <w:jc w:val="right"/>
              <w:rPr>
                <w:rFonts w:ascii="Times New Roman" w:hAnsi="Times New Roman"/>
                <w:sz w:val="20"/>
                <w:szCs w:val="20"/>
              </w:rPr>
            </w:pPr>
            <w:r>
              <w:rPr>
                <w:rFonts w:ascii="Times New Roman" w:hAnsi="Times New Roman"/>
                <w:sz w:val="20"/>
                <w:szCs w:val="20"/>
              </w:rPr>
              <w:t xml:space="preserve"> </w:t>
            </w:r>
          </w:p>
        </w:tc>
        <w:tc>
          <w:tcPr>
            <w:tcW w:w="948" w:type="dxa"/>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r>
          </w:p>
        </w:tc>
      </w:tr>
      <w:tr>
        <w:trPr>
          <w:trHeight w:val="169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Гражданин РФ Хафизова Гульсария Галимардановна (05.04.1967г.р., место рожд: дер. Казаклар Тукаевского района Татарской АССР, адрес рег: 423874, Татарстан Респ, Тукаевский р-н, Казаклар д, Нурми Шарипова ул, дом № 76, СНИЛС04343926550, ИНН 163900152154, паспорт РФ серия 9210, номер 120262, выдан 20.04.2012, кем выдан Территориальным пунктом УФМС России по Республике Татарстан в Тукаевском районе, код подразделения 160-016),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Татарстан от 18.11.2022г. по делу №А65-23688/2022, именуемый в дальнейшем «Продавец», с одной стороны, и </w:t>
            </w:r>
          </w:p>
        </w:tc>
      </w:tr>
      <w:tr>
        <w:trPr>
          <w:trHeight w:val="49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80"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  Предмет договора</w:t>
            </w:r>
          </w:p>
        </w:tc>
      </w:tr>
      <w:tr>
        <w:trPr>
          <w:trHeight w:val="97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1.1. Продавец обязуется известить всех участников долевой собственности в письменной форме или в виде извещения на официальном сайте Федеральной службы государственной регистрации кадастра и картографии в сети интернет — https://rosreestr.gov.ru/site/ о намерении продать долю в объекте недвижимости (далее по тексту — объект недвижимости) с указанием цены, размера, местоположения объекта недвижимости.</w:t>
            </w:r>
          </w:p>
        </w:tc>
      </w:tr>
      <w:tr>
        <w:trPr>
          <w:trHeight w:val="121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1.2.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(продавцу)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 https://rosreestr.gov.ru/site/ передать в собственность Покупателю путем заключения договора купли-продажи («Основной договор») следующий Объект недвижимости:</w:t>
            </w:r>
          </w:p>
        </w:tc>
      </w:tr>
      <w:tr>
        <w:trPr>
          <w:trHeight w:val="1269"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ЛОТ №</w:t>
            </w:r>
            <w:r>
              <w:rPr>
                <w:rFonts w:ascii="Times New Roman" w:hAnsi="Times New Roman"/>
                <w:sz w:val="20"/>
                <w:szCs w:val="20"/>
              </w:rPr>
              <w:t>2</w:t>
            </w:r>
            <w:r>
              <w:rPr>
                <w:rFonts w:ascii="Times New Roman" w:hAnsi="Times New Roman"/>
                <w:sz w:val="20"/>
                <w:szCs w:val="20"/>
              </w:rPr>
              <w:t xml:space="preserve"> — 1/33 доля в праве общей долевой собственности на земельный участок площадь: 1560891.2вк.м., кадастровый номер: 16:39:201001:62, категория земель: земли сельскохозяйственного назначения, вид разрешенного</w:t>
            </w:r>
          </w:p>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использования: для сельскохозяйственного производства, адрес (местонахождение): 423874, Татарстан Респ, Тукаевский р-н, Тлянче#Тамак с, квартира 001/62</w:t>
            </w:r>
          </w:p>
        </w:tc>
      </w:tr>
      <w:tr>
        <w:trPr>
          <w:trHeight w:val="49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1.3. Стороны обязуются заключить Основной договор купли-продажи объекта недвижимости в срок не позднее 27.05.2023.</w:t>
            </w:r>
          </w:p>
        </w:tc>
      </w:tr>
      <w:tr>
        <w:trPr>
          <w:trHeight w:val="300" w:hRule="exact"/>
        </w:trPr>
        <w:tc>
          <w:tcPr>
            <w:tcW w:w="10380"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2.  Условия основного договора</w:t>
            </w:r>
          </w:p>
        </w:tc>
      </w:tr>
      <w:tr>
        <w:trPr>
          <w:trHeight w:val="49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 По Основному договору Продавец обязуется передать в собственность Покупателя Объект недвижимости, а Покупатель обязуется его принять и оплатить.</w:t>
            </w:r>
          </w:p>
        </w:tc>
      </w:tr>
      <w:tr>
        <w:trPr>
          <w:trHeight w:val="73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2.2. Стоимость продаваемого Объекта недвижимости составляет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w:t>
            </w:r>
          </w:p>
        </w:tc>
      </w:tr>
      <w:tr>
        <w:trPr>
          <w:trHeight w:val="300"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 Продавец обязуется:</w:t>
            </w:r>
          </w:p>
        </w:tc>
      </w:tr>
      <w:tr>
        <w:trPr>
          <w:trHeight w:val="300"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2.3.1. Передать Покупателю имущество по акту приема-передачи.</w:t>
            </w:r>
          </w:p>
        </w:tc>
      </w:tr>
      <w:tr>
        <w:trPr>
          <w:trHeight w:val="73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73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2.3.3. Расходы, связанные с государственной регистрацией имущества, уведомлением сособственников о преимуществом праве покупки и соблюдением правил оформления сделки по продаже доли, и иные расходы по сделке несет «Покупатель».</w:t>
            </w:r>
          </w:p>
        </w:tc>
      </w:tr>
      <w:tr>
        <w:trPr>
          <w:trHeight w:val="300"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 Покупатель обязан:</w:t>
            </w:r>
          </w:p>
        </w:tc>
      </w:tr>
      <w:tr>
        <w:trPr>
          <w:trHeight w:val="300"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2.4.1. Оплатить полную стоимость имущества в соответствии с основным договором.</w:t>
            </w:r>
          </w:p>
        </w:tc>
      </w:tr>
      <w:tr>
        <w:trPr>
          <w:trHeight w:val="49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2.4.3. Уплатить государственную пошлину за государственную регистрацию перехода права собственности.</w:t>
            </w:r>
          </w:p>
        </w:tc>
      </w:tr>
      <w:tr>
        <w:trPr>
          <w:trHeight w:val="285" w:hRule="exact"/>
        </w:trPr>
        <w:tc>
          <w:tcPr>
            <w:tcW w:w="10380"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2.4.4. Осуществить государственную регистрацию перехода права собственности на имущество к Покупателю.</w:t>
            </w:r>
          </w:p>
        </w:tc>
      </w:tr>
      <w:tr>
        <w:trPr>
          <w:trHeight w:val="285" w:hRule="exact"/>
        </w:trPr>
        <w:tc>
          <w:tcPr>
            <w:tcW w:w="10380"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3. Ответственность Сторон</w:t>
            </w:r>
          </w:p>
        </w:tc>
      </w:tr>
      <w:tr>
        <w:trPr>
          <w:trHeight w:val="510"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3.1. В случае, если одна из Сторон будет уклоняться от заключения Основного договора, то уклоняющаяся Сторона должна будет оплатить добросовестной Стороне штраф в размере суммы задатка.</w:t>
            </w:r>
          </w:p>
        </w:tc>
      </w:tr>
      <w:tr>
        <w:trPr>
          <w:trHeight w:val="52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3.2. В случае, если одна из Сторон будет уклоняться от заключения Основного договора, то уклоняющаяся Сторона должна будет возместить добросовестной Стороне убытки, причиненные таким уклонением.</w:t>
            </w:r>
          </w:p>
        </w:tc>
      </w:tr>
      <w:tr>
        <w:trPr>
          <w:trHeight w:val="570"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3.3. В случае уклонения одной из Сторон от заключения Основного договора вторая Сторона вправе обратиться в суд с требованием о понуждении заключить Основной договор купли-продажи Предмета договора.</w:t>
            </w:r>
          </w:p>
        </w:tc>
      </w:tr>
      <w:tr>
        <w:trPr>
          <w:trHeight w:val="285" w:hRule="exact"/>
        </w:trPr>
        <w:tc>
          <w:tcPr>
            <w:tcW w:w="10380"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4. Разрешение споров</w:t>
            </w:r>
          </w:p>
        </w:tc>
      </w:tr>
      <w:tr>
        <w:trPr>
          <w:trHeight w:val="810"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Российской Федерации.</w:t>
            </w:r>
          </w:p>
        </w:tc>
      </w:tr>
      <w:tr>
        <w:trPr>
          <w:trHeight w:val="540"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4.2. При невозможности урегулирования спорных вопросов в процессе переговоров споры разрешаются в суде в порядке, установленном действующим законодательством Российской Федерации.</w:t>
            </w:r>
          </w:p>
        </w:tc>
      </w:tr>
      <w:tr>
        <w:trPr>
          <w:trHeight w:val="345" w:hRule="exact"/>
        </w:trPr>
        <w:tc>
          <w:tcPr>
            <w:tcW w:w="10380"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5. Заключительные положения</w:t>
            </w:r>
          </w:p>
        </w:tc>
      </w:tr>
      <w:tr>
        <w:trPr>
          <w:trHeight w:val="52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5.1. Настоящий договор является предварительным и содержит основные условия для заключения Основного договора купли-продажи, который стороны обязуются заключить в срок не позднее 27.05.2023.</w:t>
            </w:r>
          </w:p>
        </w:tc>
      </w:tr>
      <w:tr>
        <w:trPr>
          <w:trHeight w:val="121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5.2.  В случае несоответствия действительности гарантий, указанных в п. 1.3. договора, и установления указанных обстоятельств после заключения настоящего или Основного договора, Покупатель имеет право в одностороннем внесудебном порядке расторгнуть настоящий договор, направив Продавцу соответствующее уведомление. Продавец обязуется в течение 5-х рабочих дней с момента получения уведомления о расторжении договора возвратить сумму полученного задатка.</w:t>
            </w:r>
          </w:p>
        </w:tc>
      </w:tr>
      <w:tr>
        <w:trPr>
          <w:trHeight w:val="720"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5.3. Настоящий договор содержит весь объем соглашений между сторонами в отношении предмета настоящего договора, отменяет и делает недействительными все иные обязательства, которые могли быть приняты и сделаны сторонами в устной или письменной форме до заключения настоящего договора.</w:t>
            </w:r>
          </w:p>
        </w:tc>
      </w:tr>
      <w:tr>
        <w:trPr>
          <w:trHeight w:val="28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5.4. Настоящий договор составлен в двух одинаковых экземплярах, по одному для каждой Стороны.</w:t>
            </w:r>
          </w:p>
        </w:tc>
      </w:tr>
      <w:tr>
        <w:trPr>
          <w:trHeight w:val="55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5.5. Во всем ином, неоговоренном в настоящем договоре, Стороны руководствуются действующим законодательством РФ.</w:t>
            </w:r>
          </w:p>
        </w:tc>
      </w:tr>
      <w:tr>
        <w:trPr>
          <w:trHeight w:val="55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5.6. Настоящий договор вступает в силу с момента подписания и действует до полного выполнения Сторонами своих обязательств по настоящему договору.</w:t>
            </w:r>
          </w:p>
        </w:tc>
      </w:tr>
      <w:tr>
        <w:trPr>
          <w:trHeight w:val="285" w:hRule="exact"/>
        </w:trPr>
        <w:tc>
          <w:tcPr>
            <w:tcW w:w="10380"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5.7. Договор Сторонами прочитан, последствия заключаемой сделки сторонам известны.</w:t>
            </w:r>
          </w:p>
        </w:tc>
      </w:tr>
      <w:tr>
        <w:trPr>
          <w:trHeight w:val="285" w:hRule="exact"/>
        </w:trPr>
        <w:tc>
          <w:tcPr>
            <w:tcW w:w="10380"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6. Реквизиты и подписи Сторон</w:t>
            </w:r>
          </w:p>
        </w:tc>
      </w:tr>
      <w:tr>
        <w:trPr>
          <w:trHeight w:val="285" w:hRule="exact"/>
        </w:trPr>
        <w:tc>
          <w:tcPr>
            <w:tcW w:w="470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Продавец:</w:t>
            </w:r>
          </w:p>
        </w:tc>
        <w:tc>
          <w:tcPr>
            <w:tcW w:w="5676"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Покупатель:</w:t>
            </w:r>
          </w:p>
        </w:tc>
      </w:tr>
      <w:tr>
        <w:trPr>
          <w:trHeight w:val="285" w:hRule="exact"/>
        </w:trPr>
        <w:tc>
          <w:tcPr>
            <w:tcW w:w="470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c>
          <w:tcPr>
            <w:tcW w:w="5676"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r>
      <w:tr>
        <w:trPr>
          <w:trHeight w:val="2175" w:hRule="exact"/>
        </w:trPr>
        <w:tc>
          <w:tcPr>
            <w:tcW w:w="470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Хафизова Гульсария Галимардановна (05.04.1967г.р., место рожд: дер. Казаклар Тукаевского района Татарской АССР, адрес рег: 423874, Татарстан Респ, Тукаевский р-н, Казаклар д, Нурми Шарипова ул, дом № 76, СНИЛС04343926550, ИНН 163900152154, паспорт РФ серия 9210, номер 120262, выдан 20.04.2012, кем выдан Территориальным пунктом УФМС России по Республике Татарстан в Тукаевском районе, код подразделения 160-016)</w:t>
            </w:r>
          </w:p>
        </w:tc>
        <w:tc>
          <w:tcPr>
            <w:tcW w:w="5676" w:type="dxa"/>
            <w:gridSpan w:val="6"/>
            <w:vMerge w:val="restart"/>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0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Реквизиты</w:t>
            </w:r>
          </w:p>
        </w:tc>
        <w:tc>
          <w:tcPr>
            <w:tcW w:w="5676"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495" w:hRule="exact"/>
        </w:trPr>
        <w:tc>
          <w:tcPr>
            <w:tcW w:w="4704" w:type="dxa"/>
            <w:gridSpan w:val="5"/>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6"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1215" w:hRule="exact"/>
        </w:trPr>
        <w:tc>
          <w:tcPr>
            <w:tcW w:w="470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Р/СЧ 40802810972000066742</w:t>
              <w:br/>
              <w:t>БИК 047501602</w:t>
              <w:br/>
              <w:t>КР/СЧ 30101810700000000602</w:t>
              <w:br/>
              <w:t>НАИМЕНОВАНИЕ БАНКА ЧЕЛЯБИНСКОЕ ОСБ N 8597</w:t>
            </w:r>
          </w:p>
        </w:tc>
        <w:tc>
          <w:tcPr>
            <w:tcW w:w="5676"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2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76"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2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76"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0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Финансовый управляющий</w:t>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470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Хафизовой Гульсарии Галимардановны</w:t>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924" w:type="dxa"/>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1035" w:hRule="exact"/>
        </w:trPr>
        <w:tc>
          <w:tcPr>
            <w:tcW w:w="2808" w:type="dxa"/>
            <w:gridSpan w:val="3"/>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Шуховцев Алексей Алексеевич</w:t>
            </w:r>
          </w:p>
        </w:tc>
        <w:tc>
          <w:tcPr>
            <w:tcW w:w="1896" w:type="dxa"/>
            <w:gridSpan w:val="2"/>
            <w:tcBorders/>
            <w:shd w:color="FFFFFF" w:fill="auto" w:val="clear"/>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t>______________</w:t>
            </w:r>
          </w:p>
        </w:tc>
        <w:tc>
          <w:tcPr>
            <w:tcW w:w="2832" w:type="dxa"/>
            <w:gridSpan w:val="3"/>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c>
          <w:tcPr>
            <w:tcW w:w="2844" w:type="dxa"/>
            <w:gridSpan w:val="3"/>
            <w:tcBorders/>
            <w:shd w:color="FFFFFF" w:fill="auto" w:val="clear"/>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____________________________</w:t>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NSimSun" w:cs="Arial"/>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LibreOffice/6.4.2.2$Windows_X86_64 LibreOffice_project/4e471d8c02c9c90f512f7f9ead8875b57fcb1ec3</Application>
  <Pages>2</Pages>
  <Words>869</Words>
  <Characters>6253</Characters>
  <CharactersWithSpaces>7488</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2023-02-27T16:01:33Z</dcterms:modified>
  <cp:revision>2</cp:revision>
  <dc:subject/>
  <dc:title/>
</cp:coreProperties>
</file>