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801D" w14:textId="77777777" w:rsidR="00BF7F75" w:rsidRDefault="00BF7F75" w:rsidP="00BF7F75">
      <w:pPr>
        <w:jc w:val="both"/>
        <w:rPr>
          <w:rFonts w:ascii="Verdana" w:hAnsi="Verdana"/>
          <w:sz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63"/>
      </w:tblGrid>
      <w:tr w:rsidR="00BF7F75" w:rsidRPr="00520B68" w14:paraId="7F5D2C4F" w14:textId="77777777" w:rsidTr="00696DA3">
        <w:trPr>
          <w:jc w:val="center"/>
        </w:trPr>
        <w:tc>
          <w:tcPr>
            <w:tcW w:w="9463" w:type="dxa"/>
          </w:tcPr>
          <w:p w14:paraId="6800BCF0" w14:textId="77777777" w:rsidR="00BF7F75" w:rsidRPr="00520B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Monotype Corsiva" w:hAnsi="Monotype Corsiva"/>
                <w:b/>
                <w:sz w:val="40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E76C55" wp14:editId="4733BA71">
                  <wp:simplePos x="0" y="0"/>
                  <wp:positionH relativeFrom="column">
                    <wp:posOffset>-165855</wp:posOffset>
                  </wp:positionH>
                  <wp:positionV relativeFrom="paragraph">
                    <wp:posOffset>-144385</wp:posOffset>
                  </wp:positionV>
                  <wp:extent cx="1474326" cy="1475117"/>
                  <wp:effectExtent l="19050" t="0" r="0" b="0"/>
                  <wp:wrapNone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326" cy="147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B68">
              <w:rPr>
                <w:rFonts w:ascii="Monotype Corsiva" w:hAnsi="Monotype Corsiva"/>
                <w:b/>
                <w:sz w:val="40"/>
                <w:szCs w:val="52"/>
                <w:lang w:eastAsia="ru-RU"/>
              </w:rPr>
              <w:t>Арбитражный управляющий</w:t>
            </w:r>
          </w:p>
        </w:tc>
      </w:tr>
      <w:tr w:rsidR="00BF7F75" w:rsidRPr="00520B68" w14:paraId="3FB3E437" w14:textId="77777777" w:rsidTr="00696DA3">
        <w:trPr>
          <w:jc w:val="center"/>
        </w:trPr>
        <w:tc>
          <w:tcPr>
            <w:tcW w:w="9463" w:type="dxa"/>
          </w:tcPr>
          <w:p w14:paraId="3479CCD5" w14:textId="77777777" w:rsidR="00BF7F75" w:rsidRPr="00520B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Monotype Corsiva" w:hAnsi="Monotype Corsiva"/>
                <w:b/>
                <w:sz w:val="40"/>
                <w:szCs w:val="52"/>
                <w:lang w:eastAsia="ru-RU"/>
              </w:rPr>
            </w:pPr>
            <w:r w:rsidRPr="00520B68">
              <w:rPr>
                <w:rFonts w:ascii="Monotype Corsiva" w:hAnsi="Monotype Corsiva"/>
                <w:b/>
                <w:sz w:val="40"/>
                <w:szCs w:val="52"/>
                <w:lang w:eastAsia="ru-RU"/>
              </w:rPr>
              <w:t>Степанов Роман Сергеевич</w:t>
            </w:r>
          </w:p>
        </w:tc>
      </w:tr>
      <w:tr w:rsidR="00BF7F75" w:rsidRPr="00520B68" w14:paraId="031F4579" w14:textId="77777777" w:rsidTr="00696DA3">
        <w:trPr>
          <w:jc w:val="center"/>
        </w:trPr>
        <w:tc>
          <w:tcPr>
            <w:tcW w:w="9463" w:type="dxa"/>
          </w:tcPr>
          <w:p w14:paraId="7346EDD7" w14:textId="77777777" w:rsidR="00BF7F75" w:rsidRPr="00520B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2"/>
                <w:lang w:eastAsia="ru-RU"/>
              </w:rPr>
            </w:pPr>
          </w:p>
        </w:tc>
      </w:tr>
      <w:tr w:rsidR="00BF7F75" w:rsidRPr="00520B68" w14:paraId="0DF13C0E" w14:textId="77777777" w:rsidTr="00696DA3">
        <w:trPr>
          <w:jc w:val="center"/>
        </w:trPr>
        <w:tc>
          <w:tcPr>
            <w:tcW w:w="9463" w:type="dxa"/>
          </w:tcPr>
          <w:p w14:paraId="61B8E9E1" w14:textId="77777777" w:rsidR="00BF7F75" w:rsidRPr="00520B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12"/>
                <w:lang w:eastAsia="ru-RU"/>
              </w:rPr>
            </w:pPr>
            <w:r w:rsidRPr="00520B68">
              <w:rPr>
                <w:rFonts w:ascii="Verdana" w:hAnsi="Verdana"/>
                <w:sz w:val="12"/>
                <w:lang w:eastAsia="ru-RU"/>
              </w:rPr>
              <w:t>ИНН 781301677221, СНИЛС 151-673-240</w:t>
            </w:r>
            <w:r>
              <w:rPr>
                <w:rFonts w:ascii="Verdana" w:hAnsi="Verdana"/>
                <w:sz w:val="12"/>
                <w:lang w:eastAsia="ru-RU"/>
              </w:rPr>
              <w:t xml:space="preserve"> </w:t>
            </w:r>
            <w:r w:rsidRPr="00520B68">
              <w:rPr>
                <w:rFonts w:ascii="Verdana" w:hAnsi="Verdana"/>
                <w:sz w:val="12"/>
                <w:lang w:eastAsia="ru-RU"/>
              </w:rPr>
              <w:t>52</w:t>
            </w:r>
          </w:p>
        </w:tc>
      </w:tr>
      <w:tr w:rsidR="00BF7F75" w:rsidRPr="00520B68" w14:paraId="29B6C7CE" w14:textId="77777777" w:rsidTr="00696DA3">
        <w:trPr>
          <w:jc w:val="center"/>
        </w:trPr>
        <w:tc>
          <w:tcPr>
            <w:tcW w:w="9463" w:type="dxa"/>
          </w:tcPr>
          <w:p w14:paraId="7A998AFF" w14:textId="77777777" w:rsidR="00BF7F75" w:rsidRPr="00520B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12"/>
                <w:szCs w:val="18"/>
                <w:lang w:eastAsia="ru-RU"/>
              </w:rPr>
            </w:pPr>
            <w:r w:rsidRPr="00520B68">
              <w:rPr>
                <w:rFonts w:ascii="Verdana" w:hAnsi="Verdana"/>
                <w:sz w:val="12"/>
                <w:szCs w:val="18"/>
                <w:lang w:eastAsia="ru-RU"/>
              </w:rPr>
              <w:t>Свидетельство № СРО-034-248 от «13» мая 2015 года</w:t>
            </w:r>
          </w:p>
          <w:p w14:paraId="6F765564" w14:textId="77777777" w:rsidR="00BF7F75" w:rsidRPr="00520B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12"/>
                <w:lang w:eastAsia="ru-RU"/>
              </w:rPr>
            </w:pPr>
            <w:r w:rsidRPr="00520B68">
              <w:rPr>
                <w:rFonts w:ascii="Verdana" w:hAnsi="Verdana"/>
                <w:sz w:val="12"/>
                <w:szCs w:val="18"/>
                <w:lang w:eastAsia="ru-RU"/>
              </w:rPr>
              <w:t>выдано СОЮЗОМ «Межрегиональный центр арбитражных управляющих»</w:t>
            </w:r>
          </w:p>
        </w:tc>
      </w:tr>
      <w:tr w:rsidR="00BF7F75" w:rsidRPr="00520B68" w14:paraId="1CACD03C" w14:textId="77777777" w:rsidTr="00696DA3">
        <w:trPr>
          <w:jc w:val="center"/>
        </w:trPr>
        <w:tc>
          <w:tcPr>
            <w:tcW w:w="9463" w:type="dxa"/>
          </w:tcPr>
          <w:p w14:paraId="641BE1A8" w14:textId="77777777" w:rsidR="00BF7F75" w:rsidRPr="00520B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sz w:val="8"/>
                <w:lang w:eastAsia="ru-RU"/>
              </w:rPr>
            </w:pPr>
          </w:p>
        </w:tc>
      </w:tr>
      <w:tr w:rsidR="00BF7F75" w:rsidRPr="00520B68" w14:paraId="77D939EC" w14:textId="77777777" w:rsidTr="00696DA3">
        <w:trPr>
          <w:jc w:val="center"/>
        </w:trPr>
        <w:tc>
          <w:tcPr>
            <w:tcW w:w="9463" w:type="dxa"/>
          </w:tcPr>
          <w:p w14:paraId="2CBD5E59" w14:textId="19B2F47D" w:rsidR="00BF7F75" w:rsidRPr="00510D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b/>
                <w:sz w:val="14"/>
                <w:lang w:eastAsia="ru-RU"/>
              </w:rPr>
            </w:pPr>
            <w:r>
              <w:rPr>
                <w:rFonts w:ascii="Verdana" w:hAnsi="Verdana"/>
                <w:b/>
                <w:sz w:val="14"/>
                <w:lang w:eastAsia="ru-RU"/>
              </w:rPr>
              <w:t>Адрес: 196006</w:t>
            </w:r>
            <w:r w:rsidRPr="00520B68">
              <w:rPr>
                <w:rFonts w:ascii="Verdana" w:hAnsi="Verdana"/>
                <w:b/>
                <w:sz w:val="14"/>
                <w:lang w:eastAsia="ru-RU"/>
              </w:rPr>
              <w:t>, г.</w:t>
            </w:r>
            <w:r>
              <w:rPr>
                <w:rFonts w:ascii="Verdana" w:hAnsi="Verdana"/>
                <w:b/>
                <w:sz w:val="14"/>
                <w:lang w:eastAsia="ru-RU"/>
              </w:rPr>
              <w:t xml:space="preserve"> </w:t>
            </w:r>
            <w:r w:rsidRPr="00520B68">
              <w:rPr>
                <w:rFonts w:ascii="Verdana" w:hAnsi="Verdana"/>
                <w:b/>
                <w:sz w:val="14"/>
                <w:lang w:eastAsia="ru-RU"/>
              </w:rPr>
              <w:t xml:space="preserve">Санкт-Петербург, Лиговский </w:t>
            </w:r>
            <w:proofErr w:type="spellStart"/>
            <w:r w:rsidRPr="00520B68">
              <w:rPr>
                <w:rFonts w:ascii="Verdana" w:hAnsi="Verdana"/>
                <w:b/>
                <w:sz w:val="14"/>
                <w:lang w:eastAsia="ru-RU"/>
              </w:rPr>
              <w:t>пр-кт</w:t>
            </w:r>
            <w:proofErr w:type="spellEnd"/>
            <w:r w:rsidRPr="00520B68">
              <w:rPr>
                <w:rFonts w:ascii="Verdana" w:hAnsi="Verdana"/>
                <w:b/>
                <w:sz w:val="14"/>
                <w:lang w:eastAsia="ru-RU"/>
              </w:rPr>
              <w:t>, дом 256, корпус 3, офис 3</w:t>
            </w:r>
            <w:r w:rsidR="00510D68" w:rsidRPr="00510D68">
              <w:rPr>
                <w:rFonts w:ascii="Verdana" w:hAnsi="Verdana"/>
                <w:b/>
                <w:sz w:val="14"/>
                <w:lang w:eastAsia="ru-RU"/>
              </w:rPr>
              <w:t>04</w:t>
            </w:r>
          </w:p>
        </w:tc>
      </w:tr>
      <w:tr w:rsidR="00BF7F75" w:rsidRPr="00DD7A4F" w14:paraId="2539C0B8" w14:textId="77777777" w:rsidTr="00696DA3">
        <w:trPr>
          <w:jc w:val="center"/>
        </w:trPr>
        <w:tc>
          <w:tcPr>
            <w:tcW w:w="9463" w:type="dxa"/>
          </w:tcPr>
          <w:p w14:paraId="638FF869" w14:textId="7B1437C9" w:rsidR="00BF7F75" w:rsidRPr="00520B68" w:rsidRDefault="00BF7F75" w:rsidP="00696DA3">
            <w:pPr>
              <w:tabs>
                <w:tab w:val="right" w:pos="9720"/>
              </w:tabs>
              <w:suppressAutoHyphens w:val="0"/>
              <w:ind w:left="1578"/>
              <w:jc w:val="center"/>
              <w:rPr>
                <w:rFonts w:ascii="Verdana" w:hAnsi="Verdana"/>
                <w:b/>
                <w:sz w:val="14"/>
                <w:lang w:val="en-US" w:eastAsia="ru-RU"/>
              </w:rPr>
            </w:pPr>
            <w:r w:rsidRPr="00520B68">
              <w:rPr>
                <w:rFonts w:ascii="Verdana" w:hAnsi="Verdana"/>
                <w:sz w:val="14"/>
                <w:lang w:eastAsia="ru-RU"/>
              </w:rPr>
              <w:t>Тел</w:t>
            </w:r>
            <w:r w:rsidRPr="00520B68">
              <w:rPr>
                <w:rFonts w:ascii="Verdana" w:hAnsi="Verdana"/>
                <w:sz w:val="14"/>
                <w:lang w:val="en-US" w:eastAsia="ru-RU"/>
              </w:rPr>
              <w:t xml:space="preserve">.: </w:t>
            </w:r>
            <w:r w:rsidRPr="004E183A">
              <w:rPr>
                <w:rFonts w:ascii="Verdana" w:hAnsi="Verdana"/>
                <w:sz w:val="14"/>
                <w:lang w:val="en-US" w:eastAsia="ru-RU"/>
              </w:rPr>
              <w:t xml:space="preserve">+7 </w:t>
            </w:r>
            <w:r w:rsidRPr="00520B68">
              <w:rPr>
                <w:rFonts w:ascii="Verdana" w:hAnsi="Verdana"/>
                <w:sz w:val="14"/>
                <w:lang w:val="en-US" w:eastAsia="ru-RU"/>
              </w:rPr>
              <w:t>(</w:t>
            </w:r>
            <w:r w:rsidRPr="004E183A">
              <w:rPr>
                <w:rFonts w:ascii="Verdana" w:hAnsi="Verdana"/>
                <w:sz w:val="14"/>
                <w:lang w:val="en-US" w:eastAsia="ru-RU"/>
              </w:rPr>
              <w:t>911</w:t>
            </w:r>
            <w:r w:rsidRPr="00520B68">
              <w:rPr>
                <w:rFonts w:ascii="Verdana" w:hAnsi="Verdana"/>
                <w:sz w:val="14"/>
                <w:lang w:val="en-US" w:eastAsia="ru-RU"/>
              </w:rPr>
              <w:t>) 927-45-0</w:t>
            </w:r>
            <w:r w:rsidR="00510D68">
              <w:rPr>
                <w:rFonts w:ascii="Verdana" w:hAnsi="Verdana"/>
                <w:sz w:val="14"/>
                <w:lang w:val="en-US" w:eastAsia="ru-RU"/>
              </w:rPr>
              <w:t>6</w:t>
            </w:r>
            <w:r w:rsidRPr="00520B68">
              <w:rPr>
                <w:rFonts w:ascii="Verdana" w:hAnsi="Verdana"/>
                <w:sz w:val="14"/>
                <w:lang w:val="en-US" w:eastAsia="ru-RU"/>
              </w:rPr>
              <w:t xml:space="preserve"> E-mail: bankrot@au.spb.ru</w:t>
            </w:r>
          </w:p>
        </w:tc>
      </w:tr>
    </w:tbl>
    <w:p w14:paraId="33A30DE3" w14:textId="77777777" w:rsidR="00BF7F75" w:rsidRPr="00520B68" w:rsidRDefault="00BF7F75" w:rsidP="00BF7F75">
      <w:pPr>
        <w:keepNext/>
        <w:tabs>
          <w:tab w:val="left" w:pos="0"/>
        </w:tabs>
        <w:suppressAutoHyphens w:val="0"/>
        <w:spacing w:before="240" w:after="120"/>
        <w:jc w:val="center"/>
        <w:outlineLvl w:val="0"/>
        <w:rPr>
          <w:rFonts w:ascii="Monotype Corsiva" w:hAnsi="Monotype Corsiva" w:cs="Arial"/>
          <w:b/>
          <w:bCs/>
          <w:kern w:val="32"/>
          <w:sz w:val="32"/>
          <w:szCs w:val="28"/>
          <w:lang w:eastAsia="ru-RU"/>
        </w:rPr>
      </w:pPr>
      <w:r w:rsidRPr="00520B68">
        <w:rPr>
          <w:rFonts w:ascii="Monotype Corsiva" w:hAnsi="Monotype Corsiva" w:cs="Arial"/>
          <w:b/>
          <w:bCs/>
          <w:kern w:val="32"/>
          <w:sz w:val="40"/>
          <w:szCs w:val="36"/>
          <w:lang w:eastAsia="ru-RU"/>
        </w:rPr>
        <w:t>Договор о задатке</w:t>
      </w:r>
    </w:p>
    <w:p w14:paraId="6F0D1188" w14:textId="77777777" w:rsidR="00DD7A4F" w:rsidRPr="00DD7A4F" w:rsidRDefault="00DD7A4F" w:rsidP="00F52DDE">
      <w:pPr>
        <w:suppressAutoHyphens w:val="0"/>
        <w:spacing w:before="120" w:after="120"/>
        <w:ind w:firstLine="540"/>
        <w:jc w:val="both"/>
        <w:rPr>
          <w:rFonts w:ascii="Verdana" w:hAnsi="Verdana" w:cs="Verdana"/>
          <w:sz w:val="18"/>
          <w:szCs w:val="18"/>
        </w:rPr>
      </w:pPr>
      <w:r w:rsidRPr="00DD7A4F">
        <w:rPr>
          <w:rFonts w:ascii="Verdana" w:hAnsi="Verdana" w:cs="Verdana"/>
          <w:sz w:val="18"/>
          <w:szCs w:val="18"/>
        </w:rPr>
        <w:t xml:space="preserve">Решением Арбитражного суда города Санкт-Петербурга и Ленинградской области по делу №А56-49857/2022 (судья Сереброва А.Ю.) от 09.08.2022 гражданин </w:t>
      </w:r>
      <w:r w:rsidRPr="00DD7A4F">
        <w:rPr>
          <w:rFonts w:ascii="Verdana" w:hAnsi="Verdana" w:cs="Verdana"/>
          <w:b/>
          <w:bCs/>
          <w:sz w:val="18"/>
          <w:szCs w:val="18"/>
        </w:rPr>
        <w:t xml:space="preserve">Бобрышева Ольга </w:t>
      </w:r>
      <w:proofErr w:type="spellStart"/>
      <w:r w:rsidRPr="00DD7A4F">
        <w:rPr>
          <w:rFonts w:ascii="Verdana" w:hAnsi="Verdana" w:cs="Verdana"/>
          <w:b/>
          <w:bCs/>
          <w:sz w:val="18"/>
          <w:szCs w:val="18"/>
        </w:rPr>
        <w:t>Иядэсиевна</w:t>
      </w:r>
      <w:proofErr w:type="spellEnd"/>
      <w:r w:rsidRPr="00DD7A4F">
        <w:rPr>
          <w:rFonts w:ascii="Verdana" w:hAnsi="Verdana" w:cs="Verdana"/>
          <w:sz w:val="18"/>
          <w:szCs w:val="18"/>
        </w:rPr>
        <w:t xml:space="preserve"> (26.03.1968 г.р., уроженец гор. Екабпилс, Латвийской ССР, адрес регистрации: 198412, г. Санкт-Петербург, г. Ломоносов, ул. Победы, д. 36, к. 1, лит. А., кв. 309; адрес временной регистрации: 188322, обл. Ленинградская, р-н Гатчинский, г. Коммунар, ул. Ижорская, д. 26, кв. 66, ИНН: 860803068905, СНИЛС: 048-467-506 90) (далее - Должник) признан несостоятельным (банкротом) и в отношении него введена процедура реализации имущества гражданина сроком на шесть месяцев.</w:t>
      </w:r>
    </w:p>
    <w:p w14:paraId="0F74D438" w14:textId="5E5E9F2B" w:rsidR="00BF7F75" w:rsidRPr="00B60BAB" w:rsidRDefault="00F52DDE" w:rsidP="00F52DDE">
      <w:pPr>
        <w:suppressAutoHyphens w:val="0"/>
        <w:spacing w:before="120" w:after="120"/>
        <w:ind w:firstLine="54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475FA0">
        <w:rPr>
          <w:rFonts w:ascii="Verdana" w:hAnsi="Verdana" w:cs="Verdana"/>
          <w:sz w:val="18"/>
          <w:szCs w:val="18"/>
        </w:rPr>
        <w:t>Финансовым управляющим в деле о банкротстве гражданина утвержден арбитражный управляющий Степанов Роман Сергеевич (ИНН 781301677221, СНИЛС 151-673-240</w:t>
      </w:r>
      <w:r>
        <w:rPr>
          <w:rFonts w:ascii="Verdana" w:hAnsi="Verdana" w:cs="Verdana"/>
          <w:sz w:val="18"/>
          <w:szCs w:val="18"/>
        </w:rPr>
        <w:t xml:space="preserve"> </w:t>
      </w:r>
      <w:r w:rsidRPr="00475FA0">
        <w:rPr>
          <w:rFonts w:ascii="Verdana" w:hAnsi="Verdana" w:cs="Verdana"/>
          <w:sz w:val="18"/>
          <w:szCs w:val="18"/>
        </w:rPr>
        <w:t xml:space="preserve">52, адрес для направления корреспонденции </w:t>
      </w:r>
      <w:r>
        <w:rPr>
          <w:rFonts w:ascii="Verdana" w:hAnsi="Verdana" w:cs="Verdana"/>
          <w:sz w:val="18"/>
          <w:szCs w:val="18"/>
        </w:rPr>
        <w:t>финансовому управляющему: 196006</w:t>
      </w:r>
      <w:r w:rsidRPr="00475FA0">
        <w:rPr>
          <w:rFonts w:ascii="Verdana" w:hAnsi="Verdana" w:cs="Verdana"/>
          <w:sz w:val="18"/>
          <w:szCs w:val="18"/>
        </w:rPr>
        <w:t xml:space="preserve">, г. Санкт-Петербург, Лиговский проспект, дом 256, </w:t>
      </w:r>
      <w:r>
        <w:rPr>
          <w:rFonts w:ascii="Verdana" w:hAnsi="Verdana" w:cs="Verdana"/>
          <w:sz w:val="18"/>
          <w:szCs w:val="18"/>
        </w:rPr>
        <w:t>корпус 3, офис 304, телефон +7 (911</w:t>
      </w:r>
      <w:r w:rsidRPr="00475FA0">
        <w:rPr>
          <w:rFonts w:ascii="Verdana" w:hAnsi="Verdana" w:cs="Verdana"/>
          <w:sz w:val="18"/>
          <w:szCs w:val="18"/>
        </w:rPr>
        <w:t>) 927-45-06, электронная почта bankrot@au.spb.ru, регистрационный номер в сводном государственном реестре арбитражных управляющих – 15116),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1085).</w:t>
      </w:r>
    </w:p>
    <w:p w14:paraId="0FFE0FAF" w14:textId="77777777" w:rsidR="00BF7F75" w:rsidRPr="00520B68" w:rsidRDefault="00BF7F75" w:rsidP="00BF7F75">
      <w:pPr>
        <w:suppressAutoHyphens w:val="0"/>
        <w:spacing w:after="120" w:line="22" w:lineRule="atLeast"/>
        <w:ind w:firstLine="720"/>
        <w:jc w:val="center"/>
        <w:rPr>
          <w:rFonts w:ascii="Verdana" w:hAnsi="Verdana"/>
          <w:b/>
          <w:sz w:val="18"/>
          <w:lang w:eastAsia="ru-RU"/>
        </w:rPr>
      </w:pPr>
      <w:r w:rsidRPr="00520B68">
        <w:rPr>
          <w:rFonts w:ascii="Verdana" w:hAnsi="Verdana"/>
          <w:b/>
          <w:sz w:val="18"/>
          <w:lang w:eastAsia="ru-RU"/>
        </w:rPr>
        <w:t xml:space="preserve"> Порядок проведения торгов по продаже имущества Должника</w:t>
      </w:r>
    </w:p>
    <w:p w14:paraId="20AC6DEA" w14:textId="77777777" w:rsidR="00BF7F75" w:rsidRPr="00520B68" w:rsidRDefault="00BF7F75" w:rsidP="00BF7F75">
      <w:pPr>
        <w:suppressAutoHyphens w:val="0"/>
        <w:spacing w:after="120" w:line="22" w:lineRule="atLeast"/>
        <w:ind w:firstLine="720"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>Проект договора купли-продажи имущества и подписанный электронной подписью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издании.</w:t>
      </w:r>
    </w:p>
    <w:p w14:paraId="12016C79" w14:textId="77777777" w:rsidR="00BF7F75" w:rsidRPr="00520B68" w:rsidRDefault="00BF7F75" w:rsidP="00BF7F75">
      <w:pPr>
        <w:suppressAutoHyphens w:val="0"/>
        <w:spacing w:after="120" w:line="22" w:lineRule="atLeast"/>
        <w:ind w:firstLine="720"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 xml:space="preserve">Перечисление задатка заявителем в соответствии с электронным сообщением о продаже признается акцептом договора о задатке. В таком случае </w:t>
      </w:r>
      <w:r w:rsidRPr="00520B68">
        <w:rPr>
          <w:rFonts w:ascii="Verdana" w:hAnsi="Verdana"/>
          <w:b/>
          <w:sz w:val="18"/>
          <w:lang w:eastAsia="ru-RU"/>
        </w:rPr>
        <w:t>договор о задатке может не опубликовываться на ЭТП и не заключаться в письменном виде с заявителем.</w:t>
      </w:r>
    </w:p>
    <w:p w14:paraId="5BAB15DA" w14:textId="77777777" w:rsidR="00BF7F75" w:rsidRPr="00520B68" w:rsidRDefault="00BF7F75" w:rsidP="00BF7F75">
      <w:pPr>
        <w:suppressAutoHyphens w:val="0"/>
        <w:spacing w:after="120" w:line="22" w:lineRule="atLeast"/>
        <w:ind w:firstLine="720"/>
        <w:jc w:val="both"/>
        <w:rPr>
          <w:rFonts w:ascii="Verdana" w:hAnsi="Verdana"/>
          <w:b/>
          <w:sz w:val="18"/>
          <w:lang w:eastAsia="ru-RU"/>
        </w:rPr>
      </w:pPr>
      <w:r w:rsidRPr="00520B68">
        <w:rPr>
          <w:rFonts w:ascii="Verdana" w:hAnsi="Verdana"/>
          <w:b/>
          <w:sz w:val="18"/>
          <w:lang w:eastAsia="ru-RU"/>
        </w:rPr>
        <w:t>Общие правила продажи имущества.</w:t>
      </w:r>
    </w:p>
    <w:p w14:paraId="4D72395E" w14:textId="65386965" w:rsidR="00BF7F75" w:rsidRPr="00520B68" w:rsidRDefault="00BF7F75" w:rsidP="00BF7F75">
      <w:pPr>
        <w:suppressAutoHyphens w:val="0"/>
        <w:spacing w:after="120" w:line="22" w:lineRule="atLeast"/>
        <w:ind w:firstLine="720"/>
        <w:jc w:val="both"/>
        <w:rPr>
          <w:rFonts w:ascii="Verdana" w:hAnsi="Verdana"/>
          <w:sz w:val="18"/>
          <w:lang w:eastAsia="ru-RU"/>
        </w:rPr>
      </w:pPr>
      <w:r>
        <w:rPr>
          <w:rFonts w:ascii="Verdana" w:hAnsi="Verdana"/>
          <w:sz w:val="18"/>
          <w:lang w:eastAsia="ru-RU"/>
        </w:rPr>
        <w:t xml:space="preserve">Задаток составляет </w:t>
      </w:r>
      <w:r w:rsidR="00DD7A4F">
        <w:rPr>
          <w:rFonts w:ascii="Verdana" w:hAnsi="Verdana"/>
          <w:sz w:val="18"/>
          <w:lang w:eastAsia="ru-RU"/>
        </w:rPr>
        <w:t>10</w:t>
      </w:r>
      <w:r w:rsidRPr="00520B68">
        <w:rPr>
          <w:rFonts w:ascii="Verdana" w:hAnsi="Verdana"/>
          <w:sz w:val="18"/>
          <w:lang w:eastAsia="ru-RU"/>
        </w:rPr>
        <w:t xml:space="preserve"> (</w:t>
      </w:r>
      <w:r w:rsidR="00DD7A4F">
        <w:rPr>
          <w:rFonts w:ascii="Verdana" w:hAnsi="Verdana"/>
          <w:sz w:val="18"/>
          <w:lang w:eastAsia="ru-RU"/>
        </w:rPr>
        <w:t>десять</w:t>
      </w:r>
      <w:r w:rsidRPr="00520B68">
        <w:rPr>
          <w:rFonts w:ascii="Verdana" w:hAnsi="Verdana"/>
          <w:sz w:val="18"/>
          <w:lang w:eastAsia="ru-RU"/>
        </w:rPr>
        <w:t xml:space="preserve">) процентов </w:t>
      </w:r>
      <w:r>
        <w:rPr>
          <w:rFonts w:ascii="Verdana" w:hAnsi="Verdana"/>
          <w:sz w:val="18"/>
          <w:lang w:eastAsia="ru-RU"/>
        </w:rPr>
        <w:t xml:space="preserve">от цены Лота, </w:t>
      </w:r>
      <w:r w:rsidRPr="00520B68">
        <w:rPr>
          <w:rFonts w:ascii="Verdana" w:hAnsi="Verdana"/>
          <w:sz w:val="18"/>
          <w:lang w:eastAsia="ru-RU"/>
        </w:rPr>
        <w:t xml:space="preserve">установленной на проходящем этапе торгов. Задаток должен быть внесен Заявителем до даты подачи заявки на </w:t>
      </w:r>
      <w:r w:rsidR="00E1509E">
        <w:rPr>
          <w:rFonts w:ascii="Verdana" w:hAnsi="Verdana"/>
          <w:sz w:val="18"/>
          <w:lang w:eastAsia="ru-RU"/>
        </w:rPr>
        <w:t xml:space="preserve">специальный </w:t>
      </w:r>
      <w:r w:rsidRPr="00520B68">
        <w:rPr>
          <w:rFonts w:ascii="Verdana" w:hAnsi="Verdana"/>
          <w:sz w:val="18"/>
          <w:lang w:eastAsia="ru-RU"/>
        </w:rPr>
        <w:t>банковский счет</w:t>
      </w:r>
      <w:r w:rsidR="00E1509E">
        <w:rPr>
          <w:rFonts w:ascii="Verdana" w:hAnsi="Verdana"/>
          <w:sz w:val="18"/>
          <w:lang w:eastAsia="ru-RU"/>
        </w:rPr>
        <w:t xml:space="preserve"> Должника</w:t>
      </w:r>
      <w:r w:rsidRPr="00520B68">
        <w:rPr>
          <w:rFonts w:ascii="Verdana" w:hAnsi="Verdana"/>
          <w:sz w:val="18"/>
          <w:lang w:eastAsia="ru-RU"/>
        </w:rPr>
        <w:t>:</w:t>
      </w:r>
    </w:p>
    <w:p w14:paraId="3F47A69F" w14:textId="0AF882D2" w:rsidR="0076508D" w:rsidRPr="00532F93" w:rsidRDefault="0076508D" w:rsidP="0076508D">
      <w:pPr>
        <w:pStyle w:val="a5"/>
        <w:tabs>
          <w:tab w:val="left" w:pos="567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 xml:space="preserve">Номер карты: </w:t>
      </w:r>
      <w:r w:rsidR="00B7019F" w:rsidRPr="00B7019F">
        <w:rPr>
          <w:rFonts w:ascii="Verdana" w:hAnsi="Verdana"/>
          <w:sz w:val="18"/>
          <w:szCs w:val="22"/>
        </w:rPr>
        <w:t>4276 5500 7434 8510</w:t>
      </w:r>
    </w:p>
    <w:p w14:paraId="3ACFF1C9" w14:textId="77777777" w:rsidR="0076508D" w:rsidRPr="00532F93" w:rsidRDefault="0076508D" w:rsidP="0076508D">
      <w:pPr>
        <w:pStyle w:val="a5"/>
        <w:tabs>
          <w:tab w:val="left" w:pos="567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Получатель: РОМАН СЕРГЕЕВИЧ СТЕПАНОВ</w:t>
      </w:r>
    </w:p>
    <w:p w14:paraId="567B858F" w14:textId="77777777" w:rsidR="0076508D" w:rsidRPr="00532F93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Номер счета: 40817810055862003750</w:t>
      </w:r>
    </w:p>
    <w:p w14:paraId="5BBF9B1C" w14:textId="77777777" w:rsidR="0076508D" w:rsidRPr="00532F93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Банк получателя: СЕВЕРО-ЗАПАДНЫЙ БАНК ПАО СБЕРБАНК</w:t>
      </w:r>
    </w:p>
    <w:p w14:paraId="60AE6B0B" w14:textId="77777777" w:rsidR="0076508D" w:rsidRPr="00532F93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Г.САНКТ-ПЕТЕРБУРГ</w:t>
      </w:r>
    </w:p>
    <w:p w14:paraId="1E4D7817" w14:textId="77777777" w:rsidR="0076508D" w:rsidRPr="00532F93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БИК: 044030653</w:t>
      </w:r>
    </w:p>
    <w:p w14:paraId="1D04BDD5" w14:textId="77777777" w:rsidR="0076508D" w:rsidRPr="00532F93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Корреспондентский счет: 30101810500000000653</w:t>
      </w:r>
    </w:p>
    <w:p w14:paraId="59F3660D" w14:textId="77777777" w:rsidR="0076508D" w:rsidRPr="00532F93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КПП: 783502001</w:t>
      </w:r>
    </w:p>
    <w:p w14:paraId="699EDA1C" w14:textId="77777777" w:rsidR="0076508D" w:rsidRPr="00532F93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ИНН: 7707083893</w:t>
      </w:r>
    </w:p>
    <w:p w14:paraId="0E2258C3" w14:textId="77777777" w:rsidR="0076508D" w:rsidRPr="00532F93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ОКПО: 09171401</w:t>
      </w:r>
    </w:p>
    <w:p w14:paraId="15D7C886" w14:textId="0BF68F5F" w:rsidR="00E1509E" w:rsidRPr="0076508D" w:rsidRDefault="0076508D" w:rsidP="0076508D">
      <w:pPr>
        <w:pStyle w:val="a5"/>
        <w:tabs>
          <w:tab w:val="left" w:pos="0"/>
        </w:tabs>
        <w:spacing w:after="120" w:line="22" w:lineRule="atLeast"/>
        <w:jc w:val="both"/>
        <w:rPr>
          <w:rFonts w:ascii="Verdana" w:hAnsi="Verdana"/>
          <w:sz w:val="18"/>
          <w:szCs w:val="22"/>
        </w:rPr>
      </w:pPr>
      <w:r w:rsidRPr="00532F93">
        <w:rPr>
          <w:rFonts w:ascii="Verdana" w:hAnsi="Verdana"/>
          <w:sz w:val="18"/>
          <w:szCs w:val="22"/>
        </w:rPr>
        <w:t>ОГРН: 1027700132195</w:t>
      </w:r>
    </w:p>
    <w:p w14:paraId="3815E9E0" w14:textId="664590FB" w:rsidR="00BF7F75" w:rsidRPr="00520B68" w:rsidRDefault="00BF7F75" w:rsidP="00BF7F75">
      <w:pPr>
        <w:tabs>
          <w:tab w:val="left" w:pos="0"/>
        </w:tabs>
        <w:suppressAutoHyphens w:val="0"/>
        <w:spacing w:after="120" w:line="22" w:lineRule="atLeast"/>
        <w:ind w:firstLine="709"/>
        <w:contextualSpacing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>Остальные реквизиты финансового управляющего приведены в верхней части первого листа настоящего документа.</w:t>
      </w:r>
    </w:p>
    <w:p w14:paraId="3BBA056D" w14:textId="06CB62FE" w:rsidR="00BF7F75" w:rsidRPr="00520B68" w:rsidRDefault="00BF7F75" w:rsidP="00BF7F75">
      <w:pPr>
        <w:tabs>
          <w:tab w:val="left" w:pos="0"/>
        </w:tabs>
        <w:suppressAutoHyphens w:val="0"/>
        <w:spacing w:after="120" w:line="22" w:lineRule="atLeast"/>
        <w:contextualSpacing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ab/>
      </w:r>
      <w:r w:rsidR="00CC0581" w:rsidRPr="00CC0581">
        <w:rPr>
          <w:rFonts w:ascii="Verdana" w:hAnsi="Verdana"/>
          <w:sz w:val="18"/>
          <w:lang w:eastAsia="ru-RU"/>
        </w:rPr>
        <w:t>В назначении платежа указывается Ф.И.О. или наименование организации заявителя, ссылка на внесение задатка для участия в торгах по соответствующему Лоту, а именно указание на номер и наименование Лота, номер торгов</w:t>
      </w:r>
      <w:r w:rsidRPr="00520B68">
        <w:rPr>
          <w:rFonts w:ascii="Verdana" w:hAnsi="Verdana"/>
          <w:sz w:val="18"/>
          <w:lang w:eastAsia="ru-RU"/>
        </w:rPr>
        <w:t>.</w:t>
      </w:r>
    </w:p>
    <w:p w14:paraId="6A6EF246" w14:textId="77777777" w:rsidR="00BF7F75" w:rsidRPr="00520B68" w:rsidRDefault="00BF7F75" w:rsidP="00BF7F75">
      <w:pPr>
        <w:suppressAutoHyphens w:val="0"/>
        <w:spacing w:after="120" w:line="22" w:lineRule="atLeast"/>
        <w:ind w:firstLine="720"/>
        <w:contextualSpacing/>
        <w:jc w:val="both"/>
        <w:rPr>
          <w:rFonts w:ascii="Verdana" w:hAnsi="Verdana"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>Задаток может быть внесен финансовому управляющему наличными денежными средствами. В таком случае Заявителем вместе с Заявкой должен быть предоставлен Акт приема-передачи денежных средств, подписанный финансовым управляющим.</w:t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  <w:gridCol w:w="20"/>
        <w:gridCol w:w="20"/>
      </w:tblGrid>
      <w:tr w:rsidR="00BF7F75" w:rsidRPr="00520B68" w14:paraId="0F61B979" w14:textId="77777777" w:rsidTr="00E1509E">
        <w:trPr>
          <w:cantSplit/>
          <w:trHeight w:val="217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52CD" w14:textId="77777777" w:rsidR="00BF7F75" w:rsidRPr="00520B68" w:rsidRDefault="00BF7F75" w:rsidP="00696DA3">
            <w:pPr>
              <w:suppressAutoHyphens w:val="0"/>
              <w:spacing w:after="120" w:line="22" w:lineRule="atLeast"/>
              <w:rPr>
                <w:rFonts w:ascii="Verdana" w:hAnsi="Verdana"/>
                <w:sz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26779" w14:textId="77777777" w:rsidR="00BF7F75" w:rsidRPr="00520B68" w:rsidRDefault="00BF7F75" w:rsidP="00696DA3">
            <w:pPr>
              <w:suppressAutoHyphens w:val="0"/>
              <w:spacing w:after="120" w:line="22" w:lineRule="atLeast"/>
              <w:jc w:val="center"/>
              <w:rPr>
                <w:rFonts w:ascii="Verdana" w:hAnsi="Verdana"/>
                <w:sz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88777" w14:textId="77777777" w:rsidR="00BF7F75" w:rsidRPr="00520B68" w:rsidRDefault="00BF7F75" w:rsidP="00696DA3">
            <w:pPr>
              <w:tabs>
                <w:tab w:val="center" w:pos="4677"/>
                <w:tab w:val="right" w:pos="9355"/>
              </w:tabs>
              <w:suppressAutoHyphens w:val="0"/>
              <w:spacing w:after="120" w:line="22" w:lineRule="atLeast"/>
              <w:ind w:left="-1419"/>
              <w:rPr>
                <w:rFonts w:ascii="Verdana" w:hAnsi="Verdana"/>
                <w:sz w:val="18"/>
                <w:szCs w:val="22"/>
                <w:lang w:eastAsia="ru-RU"/>
              </w:rPr>
            </w:pPr>
            <w:r w:rsidRPr="00520B68">
              <w:rPr>
                <w:rFonts w:ascii="Verdana" w:hAnsi="Verdana"/>
                <w:sz w:val="18"/>
                <w:szCs w:val="22"/>
                <w:lang w:eastAsia="ru-RU"/>
              </w:rPr>
              <w:t xml:space="preserve"> / Р.С. Степанов /</w:t>
            </w:r>
          </w:p>
        </w:tc>
      </w:tr>
    </w:tbl>
    <w:p w14:paraId="4B299FE2" w14:textId="12348045" w:rsidR="00AA03C5" w:rsidRPr="00E1509E" w:rsidRDefault="00BF7F75" w:rsidP="00E1509E">
      <w:pPr>
        <w:suppressAutoHyphens w:val="0"/>
        <w:spacing w:after="120" w:line="22" w:lineRule="atLeast"/>
        <w:ind w:left="720"/>
        <w:jc w:val="both"/>
        <w:rPr>
          <w:rFonts w:ascii="Verdana" w:hAnsi="Verdana"/>
          <w:b/>
          <w:sz w:val="18"/>
          <w:lang w:eastAsia="ru-RU"/>
        </w:rPr>
      </w:pPr>
      <w:r w:rsidRPr="00520B68">
        <w:rPr>
          <w:rFonts w:ascii="Verdana" w:hAnsi="Verdana"/>
          <w:sz w:val="18"/>
          <w:lang w:eastAsia="ru-RU"/>
        </w:rPr>
        <w:t>Финансовый управляющий                                           ________________/Степанов Р.С.</w:t>
      </w:r>
    </w:p>
    <w:sectPr w:rsidR="00AA03C5" w:rsidRPr="00E1509E" w:rsidSect="00C25E38">
      <w:footerReference w:type="default" r:id="rId7"/>
      <w:footnotePr>
        <w:pos w:val="beneathText"/>
      </w:footnotePr>
      <w:pgSz w:w="11905" w:h="16837"/>
      <w:pgMar w:top="567" w:right="851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0A26" w14:textId="77777777" w:rsidR="00E32FF7" w:rsidRDefault="00E32FF7">
      <w:r>
        <w:separator/>
      </w:r>
    </w:p>
  </w:endnote>
  <w:endnote w:type="continuationSeparator" w:id="0">
    <w:p w14:paraId="3123602A" w14:textId="77777777" w:rsidR="00E32FF7" w:rsidRDefault="00E3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2AE7C" w14:textId="77777777" w:rsidR="00BF22BB" w:rsidRDefault="00BF7F75" w:rsidP="00B02E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00A74" w14:textId="77777777" w:rsidR="00E32FF7" w:rsidRDefault="00E32FF7">
      <w:r>
        <w:separator/>
      </w:r>
    </w:p>
  </w:footnote>
  <w:footnote w:type="continuationSeparator" w:id="0">
    <w:p w14:paraId="75AEE483" w14:textId="77777777" w:rsidR="00E32FF7" w:rsidRDefault="00E3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75"/>
    <w:rsid w:val="00107AF5"/>
    <w:rsid w:val="001E142E"/>
    <w:rsid w:val="002A3BC2"/>
    <w:rsid w:val="002A73B3"/>
    <w:rsid w:val="00342334"/>
    <w:rsid w:val="0041047C"/>
    <w:rsid w:val="00510D68"/>
    <w:rsid w:val="00626B7F"/>
    <w:rsid w:val="00641A6A"/>
    <w:rsid w:val="0076508D"/>
    <w:rsid w:val="00792009"/>
    <w:rsid w:val="00AA03C5"/>
    <w:rsid w:val="00AC483B"/>
    <w:rsid w:val="00B7019F"/>
    <w:rsid w:val="00BF7F75"/>
    <w:rsid w:val="00C36F8E"/>
    <w:rsid w:val="00CC0581"/>
    <w:rsid w:val="00DD7A4F"/>
    <w:rsid w:val="00E1509E"/>
    <w:rsid w:val="00E32FF7"/>
    <w:rsid w:val="00F52DDE"/>
    <w:rsid w:val="00FA6663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6606"/>
  <w15:chartTrackingRefBased/>
  <w15:docId w15:val="{14CC637A-7D83-4FB8-8238-2218BED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F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7F7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7F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76508D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</cp:lastModifiedBy>
  <cp:revision>15</cp:revision>
  <cp:lastPrinted>2021-09-22T07:21:00Z</cp:lastPrinted>
  <dcterms:created xsi:type="dcterms:W3CDTF">2020-01-24T14:15:00Z</dcterms:created>
  <dcterms:modified xsi:type="dcterms:W3CDTF">2023-01-24T08:29:00Z</dcterms:modified>
</cp:coreProperties>
</file>