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6" w:type="dxa"/>
        <w:jc w:val="left"/>
        <w:tblInd w:w="0" w:type="dxa"/>
        <w:tblCellMar>
          <w:top w:w="0" w:type="dxa"/>
          <w:left w:w="108" w:type="dxa"/>
          <w:bottom w:w="0" w:type="dxa"/>
          <w:right w:w="108" w:type="dxa"/>
        </w:tblCellMar>
        <w:tblLook w:val="04a0"/>
      </w:tblPr>
      <w:tblGrid>
        <w:gridCol w:w="944"/>
        <w:gridCol w:w="945"/>
        <w:gridCol w:w="945"/>
        <w:gridCol w:w="945"/>
        <w:gridCol w:w="945"/>
        <w:gridCol w:w="947"/>
        <w:gridCol w:w="945"/>
        <w:gridCol w:w="945"/>
        <w:gridCol w:w="945"/>
        <w:gridCol w:w="945"/>
        <w:gridCol w:w="944"/>
      </w:tblGrid>
      <w:tr>
        <w:trPr>
          <w:trHeight w:val="60" w:hRule="atLeast"/>
        </w:trPr>
        <w:tc>
          <w:tcPr>
            <w:tcW w:w="10395" w:type="dxa"/>
            <w:gridSpan w:val="11"/>
            <w:tcBorders/>
            <w:shd w:color="FFFFFF" w:fill="auto" w:val="clear"/>
            <w:vAlign w:val="bottom"/>
          </w:tcPr>
          <w:p>
            <w:pPr>
              <w:pStyle w:val="Normal"/>
              <w:bidi w:val="0"/>
              <w:spacing w:lineRule="auto" w:line="240" w:before="0" w:after="0"/>
              <w:jc w:val="center"/>
              <w:rPr>
                <w:rFonts w:ascii="Arial" w:hAnsi="Arial"/>
                <w:sz w:val="16"/>
              </w:rPr>
            </w:pPr>
            <w:r>
              <w:rPr>
                <w:rFonts w:ascii="Times New Roman" w:hAnsi="Times New Roman"/>
                <w:b/>
                <w:sz w:val="20"/>
                <w:szCs w:val="20"/>
              </w:rPr>
              <w:t>ДОГОВОР</w:t>
            </w:r>
          </w:p>
        </w:tc>
      </w:tr>
      <w:tr>
        <w:trPr>
          <w:trHeight w:val="265" w:hRule="atLeast"/>
        </w:trPr>
        <w:tc>
          <w:tcPr>
            <w:tcW w:w="10395" w:type="dxa"/>
            <w:gridSpan w:val="11"/>
            <w:tcBorders/>
            <w:shd w:color="FFFFFF" w:fill="auto" w:val="clear"/>
            <w:vAlign w:val="bottom"/>
          </w:tcPr>
          <w:p>
            <w:pPr>
              <w:pStyle w:val="Normal"/>
              <w:bidi w:val="0"/>
              <w:spacing w:lineRule="auto" w:line="240" w:before="0" w:after="0"/>
              <w:jc w:val="center"/>
              <w:rPr>
                <w:rFonts w:ascii="Arial" w:hAnsi="Arial"/>
                <w:sz w:val="16"/>
              </w:rPr>
            </w:pPr>
            <w:r>
              <w:rPr>
                <w:rFonts w:ascii="Times New Roman" w:hAnsi="Times New Roman"/>
                <w:b/>
                <w:sz w:val="20"/>
                <w:szCs w:val="20"/>
              </w:rPr>
              <w:t>купли-продажи</w:t>
            </w:r>
          </w:p>
        </w:tc>
      </w:tr>
      <w:tr>
        <w:trPr>
          <w:trHeight w:val="265" w:hRule="atLeast"/>
        </w:trPr>
        <w:tc>
          <w:tcPr>
            <w:tcW w:w="9451" w:type="dxa"/>
            <w:gridSpan w:val="10"/>
            <w:tcBorders/>
            <w:shd w:color="FFFFFF" w:fill="auto" w:val="clear"/>
          </w:tcPr>
          <w:p>
            <w:pPr>
              <w:pStyle w:val="Normal"/>
              <w:bidi w:val="0"/>
              <w:spacing w:lineRule="auto" w:line="240" w:before="0" w:after="0"/>
              <w:jc w:val="both"/>
              <w:rPr>
                <w:rFonts w:ascii="Arial" w:hAnsi="Arial"/>
                <w:sz w:val="16"/>
              </w:rPr>
            </w:pPr>
            <w:r>
              <w:rPr>
                <w:rFonts w:ascii="Times New Roman" w:hAnsi="Times New Roman"/>
                <w:sz w:val="20"/>
                <w:szCs w:val="20"/>
              </w:rPr>
              <w:t xml:space="preserve"> </w:t>
            </w:r>
          </w:p>
        </w:tc>
        <w:tc>
          <w:tcPr>
            <w:tcW w:w="944" w:type="dxa"/>
            <w:tcBorders/>
            <w:shd w:color="FFFFFF" w:fill="auto" w:val="clear"/>
            <w:vAlign w:val="bottom"/>
          </w:tcPr>
          <w:p>
            <w:pPr>
              <w:pStyle w:val="Normal"/>
              <w:bidi w:val="0"/>
              <w:spacing w:lineRule="auto" w:line="240" w:before="0" w:after="0"/>
              <w:jc w:val="center"/>
              <w:rPr>
                <w:rFonts w:ascii="Arial" w:hAnsi="Arial"/>
                <w:sz w:val="16"/>
              </w:rPr>
            </w:pPr>
            <w:r>
              <w:rPr>
                <w:rFonts w:ascii="Arial" w:hAnsi="Arial"/>
                <w:sz w:val="16"/>
              </w:rPr>
            </w:r>
          </w:p>
        </w:tc>
      </w:tr>
      <w:tr>
        <w:trPr>
          <w:trHeight w:val="60" w:hRule="atLeast"/>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Мы, нижеподписавшиеся:</w:t>
            </w:r>
          </w:p>
        </w:tc>
      </w:tr>
      <w:tr>
        <w:trPr>
          <w:trHeight w:val="60" w:hRule="atLeast"/>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Гражданин РФ Марьин Сергей Николаевич (30.05.1972г.р., место рожд: п. Башмаково Игринского р-на Удмуртской АССР, адрес рег: 452695, Башкортостан Респ, Нефтекамск г, Амзя с, Луговой пер, д. 1, кв. 1, СНИЛС07746654610, ИНН 870901077439, паспорт РФ серия 8017, номер 577701, выдан 06.07.2017, кем выдан Отделом УФМС России по Республике Башкортостан, в г. Нефтекамск, код подразделения 020-020),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17.06.2022г. по делу №А07-13796/2022, именуемый в дальнейшем «Продавец», с одной стороны, и</w:t>
            </w:r>
          </w:p>
        </w:tc>
      </w:tr>
      <w:tr>
        <w:trPr>
          <w:trHeight w:val="60" w:hRule="atLeast"/>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60" w:hRule="atLeast"/>
        </w:trPr>
        <w:tc>
          <w:tcPr>
            <w:tcW w:w="10395" w:type="dxa"/>
            <w:gridSpan w:val="11"/>
            <w:tcBorders/>
            <w:shd w:color="FFFFFF" w:fill="auto" w:val="clear"/>
            <w:vAlign w:val="bottom"/>
          </w:tcPr>
          <w:p>
            <w:pPr>
              <w:pStyle w:val="Normal"/>
              <w:bidi w:val="0"/>
              <w:spacing w:lineRule="auto" w:line="240" w:before="0" w:after="0"/>
              <w:jc w:val="center"/>
              <w:rPr>
                <w:rFonts w:ascii="Arial" w:hAnsi="Arial"/>
                <w:sz w:val="16"/>
              </w:rPr>
            </w:pPr>
            <w:r>
              <w:rPr>
                <w:rFonts w:ascii="Times New Roman" w:hAnsi="Times New Roman"/>
                <w:b/>
                <w:sz w:val="20"/>
                <w:szCs w:val="20"/>
              </w:rPr>
              <w:t>1. Предмет договора</w:t>
            </w:r>
          </w:p>
        </w:tc>
      </w:tr>
      <w:tr>
        <w:trPr>
          <w:trHeight w:val="60" w:hRule="atLeast"/>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1.1.  В соответствии с Протоколом                по продаже имущества Марьина Сергея Николаевича от               г., размещенным на сайте ЭП ООО «Межрегиональная Электронная Торговая Система» (https://m-ets.ru)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легковой, марка: BYD, модель: F3, VIN: Z9CF142FPCM002395, год изготовления: 2012</w:t>
            </w:r>
          </w:p>
        </w:tc>
      </w:tr>
      <w:tr>
        <w:trPr>
          <w:trHeight w:val="60" w:hRule="atLeast"/>
        </w:trPr>
        <w:tc>
          <w:tcPr>
            <w:tcW w:w="10395" w:type="dxa"/>
            <w:gridSpan w:val="11"/>
            <w:tcBorders/>
            <w:shd w:color="FFFFFF" w:fill="FFFFFF" w:val="clear"/>
            <w:vAlign w:val="bottom"/>
          </w:tcPr>
          <w:p>
            <w:pPr>
              <w:pStyle w:val="Normal"/>
              <w:bidi w:val="0"/>
              <w:spacing w:lineRule="auto" w:line="240" w:before="0" w:after="0"/>
              <w:jc w:val="both"/>
              <w:rPr>
                <w:rFonts w:ascii="Arial" w:hAnsi="Arial"/>
                <w:sz w:val="16"/>
              </w:rPr>
            </w:pPr>
            <w:r>
              <w:rPr>
                <w:rFonts w:ascii="Arial" w:hAnsi="Arial"/>
                <w:sz w:val="16"/>
              </w:rPr>
            </w:r>
          </w:p>
        </w:tc>
      </w:tr>
      <w:tr>
        <w:trPr>
          <w:trHeight w:val="60" w:hRule="atLeast"/>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1.2. Транспортное средство принадлежит  Продавцу на праве собственности на основании Паспорта транспортного средства , Свидетельства о регистрации ТС .</w:t>
            </w:r>
          </w:p>
        </w:tc>
      </w:tr>
      <w:tr>
        <w:trPr>
          <w:trHeight w:val="60" w:hRule="atLeast"/>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1.3. На момент составления Договора купли продажи на вышеуказанном имуществе обременения/ограничения отсутствуют.</w:t>
            </w:r>
          </w:p>
        </w:tc>
      </w:tr>
      <w:tr>
        <w:trPr>
          <w:trHeight w:val="60" w:hRule="atLeast"/>
        </w:trPr>
        <w:tc>
          <w:tcPr>
            <w:tcW w:w="10395" w:type="dxa"/>
            <w:gridSpan w:val="11"/>
            <w:tcBorders/>
            <w:shd w:color="FFFFFF" w:fill="auto" w:val="clear"/>
            <w:vAlign w:val="bottom"/>
          </w:tcPr>
          <w:p>
            <w:pPr>
              <w:pStyle w:val="Normal"/>
              <w:bidi w:val="0"/>
              <w:spacing w:lineRule="auto" w:line="240" w:before="0" w:after="0"/>
              <w:jc w:val="center"/>
              <w:rPr>
                <w:rFonts w:ascii="Arial" w:hAnsi="Arial"/>
                <w:sz w:val="16"/>
              </w:rPr>
            </w:pPr>
            <w:r>
              <w:rPr>
                <w:rFonts w:ascii="Times New Roman" w:hAnsi="Times New Roman"/>
                <w:b/>
                <w:sz w:val="20"/>
                <w:szCs w:val="20"/>
              </w:rPr>
              <w:t>2. Обязанности Сторон</w:t>
            </w:r>
          </w:p>
        </w:tc>
      </w:tr>
      <w:tr>
        <w:trPr>
          <w:trHeight w:val="60" w:hRule="atLeast"/>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2.1. Продавец обязуется:</w:t>
            </w:r>
          </w:p>
        </w:tc>
      </w:tr>
      <w:tr>
        <w:trPr>
          <w:trHeight w:val="60" w:hRule="atLeast"/>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2.1.1. Передать Покупателю имущество по акту приема-передачи.</w:t>
            </w:r>
          </w:p>
        </w:tc>
      </w:tr>
      <w:tr>
        <w:trPr>
          <w:trHeight w:val="60" w:hRule="atLeast"/>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60" w:hRule="atLeast"/>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2.2. Покупатель обязан:</w:t>
            </w:r>
          </w:p>
        </w:tc>
      </w:tr>
      <w:tr>
        <w:trPr>
          <w:trHeight w:val="280" w:hRule="atLeast"/>
        </w:trPr>
        <w:tc>
          <w:tcPr>
            <w:tcW w:w="10395" w:type="dxa"/>
            <w:gridSpan w:val="11"/>
            <w:tcBorders/>
            <w:shd w:color="FFFFFF" w:fill="auto" w:val="clear"/>
            <w:vAlign w:val="bottom"/>
          </w:tcPr>
          <w:p>
            <w:pPr>
              <w:pStyle w:val="Normal"/>
              <w:bidi w:val="0"/>
              <w:spacing w:lineRule="auto" w:line="240" w:before="0" w:after="0"/>
              <w:jc w:val="left"/>
              <w:rPr>
                <w:rFonts w:ascii="Arial" w:hAnsi="Arial"/>
                <w:sz w:val="16"/>
              </w:rPr>
            </w:pPr>
            <w:r>
              <w:rPr>
                <w:rFonts w:ascii="Times New Roman" w:hAnsi="Times New Roman"/>
                <w:sz w:val="20"/>
                <w:szCs w:val="20"/>
              </w:rPr>
              <w:t>2.2.1. Оплатить полную стоимость имущества в соответствии с настоящим договором.</w:t>
            </w:r>
          </w:p>
        </w:tc>
      </w:tr>
      <w:tr>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c>
          <w:tcPr>
            <w:tcW w:w="10395" w:type="dxa"/>
            <w:gridSpan w:val="11"/>
            <w:tcBorders/>
            <w:shd w:color="FFFFFF" w:fill="auto" w:val="clear"/>
            <w:vAlign w:val="bottom"/>
          </w:tcPr>
          <w:p>
            <w:pPr>
              <w:pStyle w:val="Normal"/>
              <w:bidi w:val="0"/>
              <w:spacing w:lineRule="auto" w:line="240" w:before="0" w:after="0"/>
              <w:jc w:val="center"/>
              <w:rPr>
                <w:rFonts w:ascii="Arial" w:hAnsi="Arial"/>
                <w:sz w:val="16"/>
              </w:rPr>
            </w:pPr>
            <w:r>
              <w:rPr>
                <w:rFonts w:ascii="Times New Roman" w:hAnsi="Times New Roman"/>
                <w:b/>
                <w:sz w:val="20"/>
                <w:szCs w:val="20"/>
              </w:rPr>
              <w:t>3. Цена и порядок расчетов</w:t>
            </w:r>
          </w:p>
        </w:tc>
      </w:tr>
      <w:tr>
        <w:trPr/>
        <w:tc>
          <w:tcPr>
            <w:tcW w:w="10395" w:type="dxa"/>
            <w:gridSpan w:val="11"/>
            <w:tcBorders/>
            <w:shd w:color="FFFFFF" w:fill="auto" w:val="clear"/>
            <w:vAlign w:val="bottom"/>
          </w:tcPr>
          <w:p>
            <w:pPr>
              <w:pStyle w:val="Normal"/>
              <w:bidi w:val="0"/>
              <w:spacing w:lineRule="auto" w:line="240" w:before="0" w:after="0"/>
              <w:jc w:val="left"/>
              <w:rPr>
                <w:rFonts w:ascii="Arial" w:hAnsi="Arial"/>
                <w:sz w:val="16"/>
              </w:rPr>
            </w:pPr>
            <w:r>
              <w:rPr>
                <w:rFonts w:ascii="Times New Roman" w:hAnsi="Times New Roman"/>
                <w:sz w:val="20"/>
                <w:szCs w:val="20"/>
              </w:rPr>
              <w:t>3.1. Стоимость имущества составляет:</w:t>
            </w:r>
          </w:p>
        </w:tc>
      </w:tr>
      <w:tr>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(Ноль) рублей 00 копеек без учета НДС (подпункт 15 п.2 ст.146 НК), Задаток, оплаченный Покупателем, составляет  (Ноль) рублей 00 копеек, итоговая сумма оплаты Покупателем составляет ( (Ноль) рублей 00 копеек. Цена настоящего договора установлена по результатам проведения торгов, которые проводились 31.03.2023г. на сайте (https://m-ets.ru) и указана в Протоколе от 31.03.2023г., является окончательной и изменению не подлежит.</w:t>
            </w:r>
          </w:p>
        </w:tc>
      </w:tr>
      <w:tr>
        <w:trPr>
          <w:trHeight w:val="530" w:hRule="atLeast"/>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60" w:hRule="atLeast"/>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3.3. Оплата стоимости имущества по настоящему договору осуществляется Покупателем безналичным платежом на расчетный счет Получатель: Арбитражный управляющий Шелестов Дмитрий Юрьевич (ИНН 745215858804) Р/СЧ 40802810772000012462</w:t>
              <w:br/>
              <w:t>БИК 047501602</w:t>
              <w:br/>
              <w:t>КР/СЧ 30101810700000000602</w:t>
              <w:br/>
              <w:t>НАИМЕНОВАНИЕ БАНКА ЧЕЛЯБИНСКОЕ ОСБ N 8597, в течение тридцати дней с даты подписания настоящего договора.</w:t>
            </w:r>
          </w:p>
        </w:tc>
      </w:tr>
      <w:tr>
        <w:trPr>
          <w:trHeight w:val="60" w:hRule="atLeast"/>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60" w:hRule="atLeast"/>
        </w:trPr>
        <w:tc>
          <w:tcPr>
            <w:tcW w:w="10395" w:type="dxa"/>
            <w:gridSpan w:val="11"/>
            <w:tcBorders/>
            <w:shd w:color="FFFFFF" w:fill="auto" w:val="clear"/>
            <w:vAlign w:val="bottom"/>
          </w:tcPr>
          <w:p>
            <w:pPr>
              <w:pStyle w:val="Normal"/>
              <w:bidi w:val="0"/>
              <w:spacing w:lineRule="auto" w:line="240" w:before="0" w:after="0"/>
              <w:jc w:val="center"/>
              <w:rPr>
                <w:rFonts w:ascii="Arial" w:hAnsi="Arial"/>
                <w:sz w:val="16"/>
              </w:rPr>
            </w:pPr>
            <w:r>
              <w:rPr>
                <w:rFonts w:ascii="Times New Roman" w:hAnsi="Times New Roman"/>
                <w:b/>
                <w:sz w:val="20"/>
                <w:szCs w:val="20"/>
              </w:rPr>
              <w:t>4. Передача имущества и переход риска случайной гибели имущества</w:t>
            </w:r>
          </w:p>
        </w:tc>
      </w:tr>
      <w:tr>
        <w:trPr>
          <w:trHeight w:val="935" w:hRule="atLeast"/>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5" w:hRule="atLeast"/>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0" w:hRule="atLeast"/>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685" w:hRule="atLeast"/>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trPr>
          <w:trHeight w:val="290" w:hRule="atLeast"/>
        </w:trPr>
        <w:tc>
          <w:tcPr>
            <w:tcW w:w="10395" w:type="dxa"/>
            <w:gridSpan w:val="11"/>
            <w:tcBorders/>
            <w:shd w:color="FFFFFF" w:fill="auto" w:val="clear"/>
            <w:vAlign w:val="bottom"/>
          </w:tcPr>
          <w:p>
            <w:pPr>
              <w:pStyle w:val="Normal"/>
              <w:bidi w:val="0"/>
              <w:spacing w:lineRule="auto" w:line="240" w:before="0" w:after="0"/>
              <w:jc w:val="center"/>
              <w:rPr>
                <w:rFonts w:ascii="Arial" w:hAnsi="Arial"/>
                <w:sz w:val="16"/>
              </w:rPr>
            </w:pPr>
            <w:r>
              <w:rPr>
                <w:rFonts w:ascii="Times New Roman" w:hAnsi="Times New Roman"/>
                <w:b/>
                <w:sz w:val="20"/>
                <w:szCs w:val="20"/>
              </w:rPr>
              <w:t>5. Возникновение права собственности</w:t>
            </w:r>
          </w:p>
        </w:tc>
      </w:tr>
      <w:tr>
        <w:trPr>
          <w:trHeight w:val="1270" w:hRule="atLeast"/>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5.1. Право собственности транспортным средством возникает у Покупателя с момента подписания акта приема-передачи транспортного средства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Транспортного средства. Транспортное средство передано в надлежащем качественном состоянии.</w:t>
            </w:r>
          </w:p>
        </w:tc>
      </w:tr>
      <w:tr>
        <w:trPr>
          <w:trHeight w:val="290" w:hRule="atLeast"/>
        </w:trPr>
        <w:tc>
          <w:tcPr>
            <w:tcW w:w="10395" w:type="dxa"/>
            <w:gridSpan w:val="11"/>
            <w:tcBorders/>
            <w:shd w:color="FFFFFF" w:fill="auto" w:val="clear"/>
            <w:vAlign w:val="bottom"/>
          </w:tcPr>
          <w:p>
            <w:pPr>
              <w:pStyle w:val="Normal"/>
              <w:bidi w:val="0"/>
              <w:spacing w:lineRule="auto" w:line="240" w:before="0" w:after="0"/>
              <w:jc w:val="center"/>
              <w:rPr>
                <w:rFonts w:ascii="Arial" w:hAnsi="Arial"/>
                <w:sz w:val="16"/>
              </w:rPr>
            </w:pPr>
            <w:r>
              <w:rPr>
                <w:rFonts w:ascii="Times New Roman" w:hAnsi="Times New Roman"/>
                <w:b/>
                <w:sz w:val="20"/>
                <w:szCs w:val="20"/>
              </w:rPr>
              <w:t>6. Ответственность Сторон</w:t>
            </w:r>
          </w:p>
        </w:tc>
      </w:tr>
      <w:tr>
        <w:trPr>
          <w:trHeight w:val="515" w:hRule="atLeast"/>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30" w:hRule="atLeast"/>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atLeast"/>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90" w:hRule="atLeast"/>
        </w:trPr>
        <w:tc>
          <w:tcPr>
            <w:tcW w:w="10395" w:type="dxa"/>
            <w:gridSpan w:val="11"/>
            <w:tcBorders/>
            <w:shd w:color="FFFFFF" w:fill="auto" w:val="clear"/>
            <w:vAlign w:val="bottom"/>
          </w:tcPr>
          <w:p>
            <w:pPr>
              <w:pStyle w:val="Normal"/>
              <w:bidi w:val="0"/>
              <w:spacing w:lineRule="auto" w:line="240" w:before="0" w:after="0"/>
              <w:jc w:val="center"/>
              <w:rPr>
                <w:rFonts w:ascii="Arial" w:hAnsi="Arial"/>
                <w:sz w:val="16"/>
              </w:rPr>
            </w:pPr>
            <w:r>
              <w:rPr>
                <w:rFonts w:ascii="Times New Roman" w:hAnsi="Times New Roman"/>
                <w:b/>
                <w:sz w:val="20"/>
                <w:szCs w:val="20"/>
              </w:rPr>
              <w:t>7. Порядок разрешения споров</w:t>
            </w:r>
          </w:p>
        </w:tc>
      </w:tr>
      <w:tr>
        <w:trPr>
          <w:trHeight w:val="540" w:hRule="atLeast"/>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90" w:hRule="atLeast"/>
        </w:trPr>
        <w:tc>
          <w:tcPr>
            <w:tcW w:w="10395" w:type="dxa"/>
            <w:gridSpan w:val="11"/>
            <w:tcBorders/>
            <w:shd w:color="FFFFFF" w:fill="auto" w:val="clear"/>
            <w:vAlign w:val="bottom"/>
          </w:tcPr>
          <w:p>
            <w:pPr>
              <w:pStyle w:val="Normal"/>
              <w:bidi w:val="0"/>
              <w:spacing w:lineRule="auto" w:line="240" w:before="0" w:after="0"/>
              <w:jc w:val="center"/>
              <w:rPr>
                <w:rFonts w:ascii="Arial" w:hAnsi="Arial"/>
                <w:sz w:val="16"/>
              </w:rPr>
            </w:pPr>
            <w:r>
              <w:rPr>
                <w:rFonts w:ascii="Times New Roman" w:hAnsi="Times New Roman"/>
                <w:b/>
                <w:sz w:val="20"/>
                <w:szCs w:val="20"/>
              </w:rPr>
              <w:t>8. Условия изменения и расторжения договора</w:t>
            </w:r>
          </w:p>
        </w:tc>
      </w:tr>
      <w:tr>
        <w:trPr>
          <w:trHeight w:val="590" w:hRule="atLeast"/>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290" w:hRule="atLeast"/>
        </w:trPr>
        <w:tc>
          <w:tcPr>
            <w:tcW w:w="10395" w:type="dxa"/>
            <w:gridSpan w:val="11"/>
            <w:tcBorders/>
            <w:shd w:color="FFFFFF" w:fill="auto" w:val="clear"/>
            <w:vAlign w:val="bottom"/>
          </w:tcPr>
          <w:p>
            <w:pPr>
              <w:pStyle w:val="Normal"/>
              <w:bidi w:val="0"/>
              <w:spacing w:lineRule="auto" w:line="240" w:before="0" w:after="0"/>
              <w:jc w:val="center"/>
              <w:rPr>
                <w:rFonts w:ascii="Arial" w:hAnsi="Arial"/>
                <w:sz w:val="16"/>
              </w:rPr>
            </w:pPr>
            <w:r>
              <w:rPr>
                <w:rFonts w:ascii="Times New Roman" w:hAnsi="Times New Roman"/>
                <w:b/>
                <w:sz w:val="20"/>
                <w:szCs w:val="20"/>
              </w:rPr>
              <w:t>9. Заключительные положения</w:t>
            </w:r>
          </w:p>
        </w:tc>
      </w:tr>
      <w:tr>
        <w:trPr>
          <w:trHeight w:val="590" w:hRule="atLeast"/>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atLeast"/>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9.2. Сторонами договора рассмотрены все документы, подготовленные в связи с продажей имущества.</w:t>
            </w:r>
          </w:p>
        </w:tc>
      </w:tr>
      <w:tr>
        <w:trPr>
          <w:trHeight w:val="265" w:hRule="atLeast"/>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9.3. Настоящий Договор составлен в 3-х экземплярах, имеющих одинаковую юридическую силу.</w:t>
            </w:r>
          </w:p>
        </w:tc>
      </w:tr>
      <w:tr>
        <w:trPr>
          <w:trHeight w:val="985" w:hRule="atLeast"/>
        </w:trPr>
        <w:tc>
          <w:tcPr>
            <w:tcW w:w="10395" w:type="dxa"/>
            <w:gridSpan w:val="11"/>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90" w:hRule="atLeast"/>
        </w:trPr>
        <w:tc>
          <w:tcPr>
            <w:tcW w:w="10395" w:type="dxa"/>
            <w:gridSpan w:val="11"/>
            <w:tcBorders/>
            <w:shd w:color="FFFFFF" w:fill="auto" w:val="clear"/>
            <w:vAlign w:val="bottom"/>
          </w:tcPr>
          <w:p>
            <w:pPr>
              <w:pStyle w:val="Normal"/>
              <w:bidi w:val="0"/>
              <w:spacing w:lineRule="auto" w:line="240" w:before="0" w:after="0"/>
              <w:jc w:val="center"/>
              <w:rPr>
                <w:rFonts w:ascii="Arial" w:hAnsi="Arial"/>
                <w:sz w:val="16"/>
              </w:rPr>
            </w:pPr>
            <w:r>
              <w:rPr>
                <w:rFonts w:ascii="Times New Roman" w:hAnsi="Times New Roman"/>
                <w:b/>
                <w:sz w:val="20"/>
                <w:szCs w:val="20"/>
              </w:rPr>
              <w:t>10. Реквизиты и подписи Сторон</w:t>
            </w:r>
          </w:p>
        </w:tc>
      </w:tr>
      <w:tr>
        <w:trPr>
          <w:trHeight w:val="290" w:hRule="atLeast"/>
        </w:trPr>
        <w:tc>
          <w:tcPr>
            <w:tcW w:w="4724" w:type="dxa"/>
            <w:gridSpan w:val="5"/>
            <w:tcBorders/>
            <w:shd w:color="FFFFFF" w:fill="auto" w:val="clear"/>
            <w:vAlign w:val="bottom"/>
          </w:tcPr>
          <w:p>
            <w:pPr>
              <w:pStyle w:val="Normal"/>
              <w:bidi w:val="0"/>
              <w:spacing w:lineRule="auto" w:line="240" w:before="0" w:after="0"/>
              <w:jc w:val="center"/>
              <w:rPr>
                <w:rFonts w:ascii="Arial" w:hAnsi="Arial"/>
                <w:sz w:val="16"/>
              </w:rPr>
            </w:pPr>
            <w:r>
              <w:rPr>
                <w:rFonts w:ascii="Times New Roman" w:hAnsi="Times New Roman"/>
                <w:b/>
                <w:sz w:val="20"/>
                <w:szCs w:val="20"/>
              </w:rPr>
              <w:t>Продавец:</w:t>
            </w:r>
          </w:p>
        </w:tc>
        <w:tc>
          <w:tcPr>
            <w:tcW w:w="5671" w:type="dxa"/>
            <w:gridSpan w:val="6"/>
            <w:tcBorders/>
            <w:shd w:color="FFFFFF" w:fill="auto" w:val="clear"/>
            <w:vAlign w:val="bottom"/>
          </w:tcPr>
          <w:p>
            <w:pPr>
              <w:pStyle w:val="Normal"/>
              <w:bidi w:val="0"/>
              <w:spacing w:lineRule="auto" w:line="240" w:before="0" w:after="0"/>
              <w:jc w:val="center"/>
              <w:rPr>
                <w:rFonts w:ascii="Arial" w:hAnsi="Arial"/>
                <w:sz w:val="16"/>
              </w:rPr>
            </w:pPr>
            <w:r>
              <w:rPr>
                <w:rFonts w:ascii="Times New Roman" w:hAnsi="Times New Roman"/>
                <w:b/>
                <w:sz w:val="20"/>
                <w:szCs w:val="20"/>
              </w:rPr>
              <w:t>Покупатель:</w:t>
            </w:r>
          </w:p>
        </w:tc>
      </w:tr>
      <w:tr>
        <w:trPr>
          <w:trHeight w:val="290" w:hRule="atLeast"/>
        </w:trPr>
        <w:tc>
          <w:tcPr>
            <w:tcW w:w="4724" w:type="dxa"/>
            <w:gridSpan w:val="5"/>
            <w:tcBorders/>
            <w:shd w:color="FFFFFF" w:fill="auto" w:val="clear"/>
            <w:vAlign w:val="bottom"/>
          </w:tcPr>
          <w:p>
            <w:pPr>
              <w:pStyle w:val="Normal"/>
              <w:bidi w:val="0"/>
              <w:spacing w:lineRule="auto" w:line="240" w:before="0" w:after="0"/>
              <w:jc w:val="center"/>
              <w:rPr>
                <w:rFonts w:ascii="Arial" w:hAnsi="Arial"/>
                <w:sz w:val="16"/>
              </w:rPr>
            </w:pPr>
            <w:r>
              <w:rPr>
                <w:rFonts w:ascii="Times New Roman" w:hAnsi="Times New Roman"/>
                <w:b/>
                <w:sz w:val="20"/>
                <w:szCs w:val="20"/>
              </w:rPr>
              <w:t>Гражданин РФ</w:t>
            </w:r>
          </w:p>
        </w:tc>
        <w:tc>
          <w:tcPr>
            <w:tcW w:w="5671" w:type="dxa"/>
            <w:gridSpan w:val="6"/>
            <w:tcBorders/>
            <w:shd w:color="FFFFFF" w:fill="auto" w:val="clear"/>
            <w:vAlign w:val="bottom"/>
          </w:tcPr>
          <w:p>
            <w:pPr>
              <w:pStyle w:val="Normal"/>
              <w:bidi w:val="0"/>
              <w:spacing w:lineRule="auto" w:line="240" w:before="0" w:after="0"/>
              <w:jc w:val="center"/>
              <w:rPr>
                <w:rFonts w:ascii="Arial" w:hAnsi="Arial"/>
                <w:sz w:val="16"/>
              </w:rPr>
            </w:pPr>
            <w:r>
              <w:rPr>
                <w:rFonts w:ascii="Times New Roman" w:hAnsi="Times New Roman"/>
                <w:b/>
                <w:sz w:val="20"/>
                <w:szCs w:val="20"/>
              </w:rPr>
              <w:t>Гражданин РФ</w:t>
            </w:r>
          </w:p>
        </w:tc>
      </w:tr>
      <w:tr>
        <w:trPr/>
        <w:tc>
          <w:tcPr>
            <w:tcW w:w="4724" w:type="dxa"/>
            <w:gridSpan w:val="5"/>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b/>
                <w:sz w:val="20"/>
                <w:szCs w:val="20"/>
              </w:rPr>
              <w:t>Марьин Сергей Николаевич (30.05.1972г.р., место рожд: п. Башмаково Игринского р-на Удмуртской АССР, адрес рег: 452695, Башкортостан Респ, Нефтекамск г, Амзя с, Луговой пер, д. 1, кв. 1, СНИЛС07746654610, ИНН 870901077439, паспорт РФ серия 8017, номер 577701, выдан 06.07.2017, кем выдан Отделом УФМС России по Республике Башкортостан, в г. Нефтекамск, код подразделения 020-020)</w:t>
            </w:r>
          </w:p>
        </w:tc>
        <w:tc>
          <w:tcPr>
            <w:tcW w:w="5671" w:type="dxa"/>
            <w:gridSpan w:val="6"/>
            <w:vMerge w:val="restart"/>
            <w:tcBorders/>
            <w:shd w:color="FFFFFF" w:fill="auto" w:val="clear"/>
          </w:tcPr>
          <w:p>
            <w:pPr>
              <w:pStyle w:val="Normal"/>
              <w:bidi w:val="0"/>
              <w:spacing w:lineRule="auto" w:line="240" w:before="0" w:after="0"/>
              <w:jc w:val="both"/>
              <w:rPr>
                <w:rFonts w:ascii="Arial" w:hAnsi="Arial"/>
                <w:sz w:val="16"/>
              </w:rPr>
            </w:pPr>
            <w:r>
              <w:rPr>
                <w:rFonts w:ascii="Arial" w:hAnsi="Arial"/>
                <w:sz w:val="16"/>
              </w:rPr>
            </w:r>
          </w:p>
        </w:tc>
      </w:tr>
      <w:tr>
        <w:trPr/>
        <w:tc>
          <w:tcPr>
            <w:tcW w:w="4724" w:type="dxa"/>
            <w:gridSpan w:val="5"/>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Реквизиты</w:t>
            </w:r>
          </w:p>
        </w:tc>
        <w:tc>
          <w:tcPr>
            <w:tcW w:w="5671" w:type="dxa"/>
            <w:gridSpan w:val="6"/>
            <w:vMerge w:val="continue"/>
            <w:tcBorders/>
            <w:shd w:color="FFFFFF" w:fill="auto" w:val="clear"/>
          </w:tcPr>
          <w:p>
            <w:pPr>
              <w:pStyle w:val="Normal"/>
              <w:bidi w:val="0"/>
              <w:spacing w:lineRule="auto" w:line="240" w:before="0" w:after="0"/>
              <w:jc w:val="both"/>
              <w:rPr>
                <w:rFonts w:ascii="Arial" w:hAnsi="Arial"/>
                <w:sz w:val="16"/>
              </w:rPr>
            </w:pPr>
            <w:r>
              <w:rPr>
                <w:rFonts w:ascii="Arial" w:hAnsi="Arial"/>
                <w:sz w:val="16"/>
              </w:rPr>
            </w:r>
          </w:p>
        </w:tc>
      </w:tr>
      <w:tr>
        <w:trPr/>
        <w:tc>
          <w:tcPr>
            <w:tcW w:w="4724" w:type="dxa"/>
            <w:gridSpan w:val="5"/>
            <w:tcBorders/>
            <w:shd w:color="FFFFFF" w:fill="auto" w:val="clear"/>
            <w:vAlign w:val="bottom"/>
          </w:tcPr>
          <w:p>
            <w:pPr>
              <w:pStyle w:val="Normal"/>
              <w:bidi w:val="0"/>
              <w:spacing w:lineRule="auto" w:line="240" w:before="0" w:after="0"/>
              <w:jc w:val="left"/>
              <w:rPr>
                <w:rFonts w:ascii="Arial" w:hAnsi="Arial"/>
                <w:sz w:val="16"/>
              </w:rPr>
            </w:pPr>
            <w:r>
              <w:rPr>
                <w:rFonts w:ascii="Times New Roman" w:hAnsi="Times New Roman"/>
                <w:sz w:val="20"/>
                <w:szCs w:val="20"/>
              </w:rPr>
              <w:t>Арбитражный управляющий Шелестов Дмитрий Юрьевич (ИНН 745215858804)</w:t>
            </w:r>
          </w:p>
        </w:tc>
        <w:tc>
          <w:tcPr>
            <w:tcW w:w="5671" w:type="dxa"/>
            <w:gridSpan w:val="6"/>
            <w:vMerge w:val="continue"/>
            <w:tcBorders/>
            <w:shd w:color="FFFFFF" w:fill="auto" w:val="clear"/>
          </w:tcPr>
          <w:p>
            <w:pPr>
              <w:pStyle w:val="Normal"/>
              <w:bidi w:val="0"/>
              <w:spacing w:lineRule="auto" w:line="240" w:before="0" w:after="0"/>
              <w:jc w:val="both"/>
              <w:rPr>
                <w:rFonts w:ascii="Arial" w:hAnsi="Arial"/>
                <w:sz w:val="16"/>
              </w:rPr>
            </w:pPr>
            <w:r>
              <w:rPr>
                <w:rFonts w:ascii="Arial" w:hAnsi="Arial"/>
                <w:sz w:val="16"/>
              </w:rPr>
            </w:r>
          </w:p>
        </w:tc>
      </w:tr>
      <w:tr>
        <w:trPr/>
        <w:tc>
          <w:tcPr>
            <w:tcW w:w="4724" w:type="dxa"/>
            <w:gridSpan w:val="5"/>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sz w:val="20"/>
                <w:szCs w:val="20"/>
              </w:rPr>
              <w:t>Р/СЧ 40802810772000012462</w:t>
              <w:br/>
              <w:t>БИК 047501602</w:t>
              <w:br/>
              <w:t>КР/СЧ 30101810700000000602</w:t>
              <w:br/>
              <w:t>НАИМЕНОВАНИЕ БАНКА ЧЕЛЯБИНСКОЕ ОСБ N 8597</w:t>
            </w:r>
          </w:p>
        </w:tc>
        <w:tc>
          <w:tcPr>
            <w:tcW w:w="5671" w:type="dxa"/>
            <w:gridSpan w:val="6"/>
            <w:vMerge w:val="continue"/>
            <w:tcBorders/>
            <w:shd w:color="FFFFFF" w:fill="auto" w:val="clear"/>
          </w:tcPr>
          <w:p>
            <w:pPr>
              <w:pStyle w:val="Normal"/>
              <w:bidi w:val="0"/>
              <w:spacing w:lineRule="auto" w:line="240" w:before="0" w:after="0"/>
              <w:jc w:val="both"/>
              <w:rPr>
                <w:rFonts w:ascii="Arial" w:hAnsi="Arial"/>
                <w:sz w:val="16"/>
              </w:rPr>
            </w:pPr>
            <w:r>
              <w:rPr>
                <w:rFonts w:ascii="Arial" w:hAnsi="Arial"/>
                <w:sz w:val="16"/>
              </w:rPr>
            </w:r>
          </w:p>
        </w:tc>
      </w:tr>
      <w:tr>
        <w:trPr/>
        <w:tc>
          <w:tcPr>
            <w:tcW w:w="944" w:type="dxa"/>
            <w:tcBorders/>
            <w:shd w:color="FFFFFF" w:fill="auto" w:val="clear"/>
            <w:vAlign w:val="bottom"/>
          </w:tcPr>
          <w:p>
            <w:pPr>
              <w:pStyle w:val="Normal"/>
              <w:bidi w:val="0"/>
              <w:spacing w:lineRule="auto" w:line="240" w:before="0" w:after="0"/>
              <w:jc w:val="both"/>
              <w:rPr>
                <w:rFonts w:ascii="Arial" w:hAnsi="Arial"/>
                <w:sz w:val="16"/>
              </w:rPr>
            </w:pPr>
            <w:r>
              <w:rPr>
                <w:rFonts w:ascii="Arial" w:hAnsi="Arial"/>
                <w:sz w:val="16"/>
              </w:rPr>
            </w:r>
          </w:p>
        </w:tc>
        <w:tc>
          <w:tcPr>
            <w:tcW w:w="945" w:type="dxa"/>
            <w:tcBorders/>
            <w:shd w:color="FFFFFF" w:fill="auto" w:val="clear"/>
            <w:vAlign w:val="bottom"/>
          </w:tcPr>
          <w:p>
            <w:pPr>
              <w:pStyle w:val="Normal"/>
              <w:bidi w:val="0"/>
              <w:spacing w:lineRule="auto" w:line="240" w:before="0" w:after="0"/>
              <w:jc w:val="both"/>
              <w:rPr>
                <w:rFonts w:ascii="Arial" w:hAnsi="Arial"/>
                <w:sz w:val="16"/>
              </w:rPr>
            </w:pPr>
            <w:r>
              <w:rPr>
                <w:rFonts w:ascii="Arial" w:hAnsi="Arial"/>
                <w:sz w:val="16"/>
              </w:rPr>
            </w:r>
          </w:p>
        </w:tc>
        <w:tc>
          <w:tcPr>
            <w:tcW w:w="945" w:type="dxa"/>
            <w:tcBorders/>
            <w:shd w:color="FFFFFF" w:fill="auto" w:val="clear"/>
            <w:vAlign w:val="bottom"/>
          </w:tcPr>
          <w:p>
            <w:pPr>
              <w:pStyle w:val="Normal"/>
              <w:bidi w:val="0"/>
              <w:spacing w:lineRule="auto" w:line="240" w:before="0" w:after="0"/>
              <w:jc w:val="both"/>
              <w:rPr>
                <w:rFonts w:ascii="Arial" w:hAnsi="Arial"/>
                <w:sz w:val="16"/>
              </w:rPr>
            </w:pPr>
            <w:r>
              <w:rPr>
                <w:rFonts w:ascii="Arial" w:hAnsi="Arial"/>
                <w:sz w:val="16"/>
              </w:rPr>
            </w:r>
          </w:p>
        </w:tc>
        <w:tc>
          <w:tcPr>
            <w:tcW w:w="945" w:type="dxa"/>
            <w:tcBorders/>
            <w:shd w:color="FFFFFF" w:fill="auto" w:val="clear"/>
            <w:vAlign w:val="bottom"/>
          </w:tcPr>
          <w:p>
            <w:pPr>
              <w:pStyle w:val="Normal"/>
              <w:bidi w:val="0"/>
              <w:spacing w:lineRule="auto" w:line="240" w:before="0" w:after="0"/>
              <w:jc w:val="both"/>
              <w:rPr>
                <w:rFonts w:ascii="Arial" w:hAnsi="Arial"/>
                <w:sz w:val="16"/>
              </w:rPr>
            </w:pPr>
            <w:r>
              <w:rPr>
                <w:rFonts w:ascii="Arial" w:hAnsi="Arial"/>
                <w:sz w:val="16"/>
              </w:rPr>
            </w:r>
          </w:p>
        </w:tc>
        <w:tc>
          <w:tcPr>
            <w:tcW w:w="945" w:type="dxa"/>
            <w:tcBorders/>
            <w:shd w:color="FFFFFF" w:fill="auto" w:val="clear"/>
            <w:vAlign w:val="bottom"/>
          </w:tcPr>
          <w:p>
            <w:pPr>
              <w:pStyle w:val="Normal"/>
              <w:bidi w:val="0"/>
              <w:spacing w:lineRule="auto" w:line="240" w:before="0" w:after="0"/>
              <w:jc w:val="both"/>
              <w:rPr>
                <w:rFonts w:ascii="Arial" w:hAnsi="Arial"/>
                <w:sz w:val="16"/>
              </w:rPr>
            </w:pPr>
            <w:r>
              <w:rPr>
                <w:rFonts w:ascii="Arial" w:hAnsi="Arial"/>
                <w:sz w:val="16"/>
              </w:rPr>
            </w:r>
          </w:p>
        </w:tc>
        <w:tc>
          <w:tcPr>
            <w:tcW w:w="5671" w:type="dxa"/>
            <w:gridSpan w:val="6"/>
            <w:vMerge w:val="continue"/>
            <w:tcBorders/>
            <w:shd w:color="FFFFFF" w:fill="auto" w:val="clear"/>
          </w:tcPr>
          <w:p>
            <w:pPr>
              <w:pStyle w:val="Normal"/>
              <w:bidi w:val="0"/>
              <w:spacing w:lineRule="auto" w:line="240" w:before="0" w:after="0"/>
              <w:jc w:val="both"/>
              <w:rPr>
                <w:rFonts w:ascii="Arial" w:hAnsi="Arial"/>
                <w:sz w:val="16"/>
              </w:rPr>
            </w:pPr>
            <w:r>
              <w:rPr>
                <w:rFonts w:ascii="Arial" w:hAnsi="Arial"/>
                <w:sz w:val="16"/>
              </w:rPr>
            </w:r>
          </w:p>
        </w:tc>
      </w:tr>
      <w:tr>
        <w:trPr/>
        <w:tc>
          <w:tcPr>
            <w:tcW w:w="4724" w:type="dxa"/>
            <w:gridSpan w:val="5"/>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b/>
                <w:sz w:val="20"/>
                <w:szCs w:val="20"/>
              </w:rPr>
              <w:t>Финансовый управляющий</w:t>
            </w:r>
          </w:p>
        </w:tc>
        <w:tc>
          <w:tcPr>
            <w:tcW w:w="5671" w:type="dxa"/>
            <w:gridSpan w:val="6"/>
            <w:vMerge w:val="continue"/>
            <w:tcBorders/>
            <w:shd w:color="FFFFFF" w:fill="auto" w:val="clear"/>
          </w:tcPr>
          <w:p>
            <w:pPr>
              <w:pStyle w:val="Normal"/>
              <w:bidi w:val="0"/>
              <w:spacing w:lineRule="auto" w:line="240" w:before="0" w:after="0"/>
              <w:jc w:val="both"/>
              <w:rPr>
                <w:rFonts w:ascii="Arial" w:hAnsi="Arial"/>
                <w:sz w:val="16"/>
              </w:rPr>
            </w:pPr>
            <w:r>
              <w:rPr>
                <w:rFonts w:ascii="Arial" w:hAnsi="Arial"/>
                <w:sz w:val="16"/>
              </w:rPr>
            </w:r>
          </w:p>
        </w:tc>
      </w:tr>
      <w:tr>
        <w:trPr/>
        <w:tc>
          <w:tcPr>
            <w:tcW w:w="4724" w:type="dxa"/>
            <w:gridSpan w:val="5"/>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b/>
                <w:sz w:val="20"/>
                <w:szCs w:val="20"/>
              </w:rPr>
              <w:t>Марьина Сергея Николаевича</w:t>
            </w:r>
          </w:p>
        </w:tc>
        <w:tc>
          <w:tcPr>
            <w:tcW w:w="947" w:type="dxa"/>
            <w:tcBorders/>
            <w:shd w:color="FFFFFF" w:fill="auto" w:val="clear"/>
          </w:tcPr>
          <w:p>
            <w:pPr>
              <w:pStyle w:val="Normal"/>
              <w:bidi w:val="0"/>
              <w:spacing w:lineRule="auto" w:line="240" w:before="0" w:after="0"/>
              <w:jc w:val="both"/>
              <w:rPr>
                <w:rFonts w:ascii="Arial" w:hAnsi="Arial"/>
                <w:sz w:val="16"/>
              </w:rPr>
            </w:pPr>
            <w:r>
              <w:rPr>
                <w:rFonts w:ascii="Arial" w:hAnsi="Arial"/>
                <w:sz w:val="16"/>
              </w:rPr>
            </w:r>
          </w:p>
        </w:tc>
        <w:tc>
          <w:tcPr>
            <w:tcW w:w="945" w:type="dxa"/>
            <w:tcBorders/>
            <w:shd w:color="FFFFFF" w:fill="auto" w:val="clear"/>
          </w:tcPr>
          <w:p>
            <w:pPr>
              <w:pStyle w:val="Normal"/>
              <w:bidi w:val="0"/>
              <w:spacing w:lineRule="auto" w:line="240" w:before="0" w:after="0"/>
              <w:jc w:val="both"/>
              <w:rPr>
                <w:rFonts w:ascii="Arial" w:hAnsi="Arial"/>
                <w:sz w:val="16"/>
              </w:rPr>
            </w:pPr>
            <w:r>
              <w:rPr>
                <w:rFonts w:ascii="Arial" w:hAnsi="Arial"/>
                <w:sz w:val="16"/>
              </w:rPr>
            </w:r>
          </w:p>
        </w:tc>
        <w:tc>
          <w:tcPr>
            <w:tcW w:w="945" w:type="dxa"/>
            <w:tcBorders/>
            <w:shd w:color="FFFFFF" w:fill="auto" w:val="clear"/>
          </w:tcPr>
          <w:p>
            <w:pPr>
              <w:pStyle w:val="Normal"/>
              <w:bidi w:val="0"/>
              <w:spacing w:lineRule="auto" w:line="240" w:before="0" w:after="0"/>
              <w:jc w:val="both"/>
              <w:rPr>
                <w:rFonts w:ascii="Arial" w:hAnsi="Arial"/>
                <w:sz w:val="16"/>
              </w:rPr>
            </w:pPr>
            <w:r>
              <w:rPr>
                <w:rFonts w:ascii="Arial" w:hAnsi="Arial"/>
                <w:sz w:val="16"/>
              </w:rPr>
            </w:r>
          </w:p>
        </w:tc>
        <w:tc>
          <w:tcPr>
            <w:tcW w:w="945" w:type="dxa"/>
            <w:tcBorders/>
            <w:shd w:color="FFFFFF" w:fill="auto" w:val="clear"/>
          </w:tcPr>
          <w:p>
            <w:pPr>
              <w:pStyle w:val="Normal"/>
              <w:bidi w:val="0"/>
              <w:spacing w:lineRule="auto" w:line="240" w:before="0" w:after="0"/>
              <w:jc w:val="both"/>
              <w:rPr>
                <w:rFonts w:ascii="Arial" w:hAnsi="Arial"/>
                <w:sz w:val="16"/>
              </w:rPr>
            </w:pPr>
            <w:r>
              <w:rPr>
                <w:rFonts w:ascii="Arial" w:hAnsi="Arial"/>
                <w:sz w:val="16"/>
              </w:rPr>
            </w:r>
          </w:p>
        </w:tc>
        <w:tc>
          <w:tcPr>
            <w:tcW w:w="945" w:type="dxa"/>
            <w:tcBorders/>
            <w:shd w:color="FFFFFF" w:fill="auto" w:val="clear"/>
          </w:tcPr>
          <w:p>
            <w:pPr>
              <w:pStyle w:val="Normal"/>
              <w:bidi w:val="0"/>
              <w:spacing w:lineRule="auto" w:line="240" w:before="0" w:after="0"/>
              <w:jc w:val="both"/>
              <w:rPr>
                <w:rFonts w:ascii="Arial" w:hAnsi="Arial"/>
                <w:sz w:val="16"/>
              </w:rPr>
            </w:pPr>
            <w:r>
              <w:rPr>
                <w:rFonts w:ascii="Arial" w:hAnsi="Arial"/>
                <w:sz w:val="16"/>
              </w:rPr>
            </w:r>
          </w:p>
        </w:tc>
        <w:tc>
          <w:tcPr>
            <w:tcW w:w="944" w:type="dxa"/>
            <w:tcBorders/>
            <w:shd w:color="FFFFFF" w:fill="auto" w:val="clear"/>
          </w:tcPr>
          <w:p>
            <w:pPr>
              <w:pStyle w:val="Normal"/>
              <w:bidi w:val="0"/>
              <w:spacing w:lineRule="auto" w:line="240" w:before="0" w:after="0"/>
              <w:jc w:val="both"/>
              <w:rPr>
                <w:rFonts w:ascii="Arial" w:hAnsi="Arial"/>
                <w:sz w:val="16"/>
              </w:rPr>
            </w:pPr>
            <w:r>
              <w:rPr>
                <w:rFonts w:ascii="Arial" w:hAnsi="Arial"/>
                <w:sz w:val="16"/>
              </w:rPr>
            </w:r>
          </w:p>
        </w:tc>
      </w:tr>
      <w:tr>
        <w:trPr/>
        <w:tc>
          <w:tcPr>
            <w:tcW w:w="4724" w:type="dxa"/>
            <w:gridSpan w:val="5"/>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b/>
                <w:sz w:val="20"/>
                <w:szCs w:val="20"/>
              </w:rPr>
              <w:t>Шелестов Дмитрий Юрьевич</w:t>
            </w:r>
          </w:p>
        </w:tc>
        <w:tc>
          <w:tcPr>
            <w:tcW w:w="2837" w:type="dxa"/>
            <w:gridSpan w:val="3"/>
            <w:tcBorders/>
            <w:shd w:color="FFFFFF" w:fill="auto" w:val="clear"/>
            <w:vAlign w:val="bottom"/>
          </w:tcPr>
          <w:p>
            <w:pPr>
              <w:pStyle w:val="Normal"/>
              <w:bidi w:val="0"/>
              <w:spacing w:lineRule="auto" w:line="240" w:before="0" w:after="0"/>
              <w:jc w:val="both"/>
              <w:rPr>
                <w:rFonts w:ascii="Arial" w:hAnsi="Arial"/>
                <w:sz w:val="16"/>
              </w:rPr>
            </w:pPr>
            <w:r>
              <w:rPr>
                <w:rFonts w:ascii="Times New Roman" w:hAnsi="Times New Roman"/>
                <w:b/>
                <w:sz w:val="20"/>
                <w:szCs w:val="20"/>
              </w:rPr>
              <w:t>ФИО Победителя</w:t>
            </w:r>
          </w:p>
        </w:tc>
        <w:tc>
          <w:tcPr>
            <w:tcW w:w="2834" w:type="dxa"/>
            <w:gridSpan w:val="3"/>
            <w:tcBorders/>
            <w:shd w:color="FFFFFF" w:fill="auto" w:val="clear"/>
            <w:vAlign w:val="bottom"/>
          </w:tcPr>
          <w:p>
            <w:pPr>
              <w:pStyle w:val="Normal"/>
              <w:bidi w:val="0"/>
              <w:spacing w:lineRule="auto" w:line="240" w:before="0" w:after="0"/>
              <w:jc w:val="both"/>
              <w:rPr>
                <w:rFonts w:ascii="Arial" w:hAnsi="Arial"/>
                <w:sz w:val="16"/>
              </w:rPr>
            </w:pPr>
            <w:r>
              <w:rPr>
                <w:rFonts w:ascii="Arial" w:hAnsi="Arial"/>
                <w:sz w:val="16"/>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 w:name="Arial">
    <w:charset w:val="cc"/>
    <w:family w:val="roman"/>
    <w:pitch w:val="variable"/>
  </w:font>
</w:fonts>
</file>

<file path=word/settings.xml><?xml version="1.0" encoding="utf-8"?>
<w:settings xmlns:w="http://schemas.openxmlformats.org/wordprocessingml/2006/main">
  <w:zoom w:percent="100"/>
  <w:defaultTabStop w:val="720"/>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Arial"/>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Arial"/>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Arial"/>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Arial"/>
    </w:rPr>
  </w:style>
  <w:style w:type="paragraph" w:styleId="Style17">
    <w:name w:val="Caption"/>
    <w:basedOn w:val="Normal"/>
    <w:qFormat/>
    <w:pPr>
      <w:suppressLineNumbers/>
      <w:spacing w:before="120" w:after="120"/>
    </w:pPr>
    <w:rPr>
      <w:rFonts w:cs="Arial"/>
      <w:i/>
      <w:iCs/>
      <w:sz w:val="24"/>
      <w:szCs w:val="24"/>
    </w:rPr>
  </w:style>
  <w:style w:type="paragraph" w:styleId="Style18">
    <w:name w:val="Указатель"/>
    <w:basedOn w:val="Normal"/>
    <w:qFormat/>
    <w:pPr>
      <w:suppressLineNumbers/>
    </w:pPr>
    <w:rPr>
      <w:rFonts w:cs="Arial"/>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LibreOffice/6.4.2.2$Windows_X86_64 LibreOffice_project/4e471d8c02c9c90f512f7f9ead8875b57fcb1ec3</Application>
  <Pages>2</Pages>
  <Words>1047</Words>
  <Characters>7507</Characters>
  <CharactersWithSpaces>8533</CharactersWithSpaces>
  <Paragraphs>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2023-02-21T09:28:00Z</dcterms:modified>
  <cp:revision>1</cp:revision>
  <dc:subject/>
  <dc:title/>
</cp:coreProperties>
</file>