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Дыга Надежда Юрьевна (Олещенко Надежда Юрьевна, Колесникова Надежда Юрьевна) (27.10.1979г.р., место рожд: п. Адамовка Адамовского района Оренбургской области, адрес рег: 462830, Оренбургская обл, Адамовский р-н, Адамовка п, Просторная ул, дом № 16, СНИЛС11521102380, ИНН 561901892416, паспорт РФ серия 5311, номер 012950, выдан 28.01.2011, кем выдан ОТДЕЛЕНИЕМ УФМС РОССИИ ПО ОРЕНБУРГСКОЙ ОБЛАСТИ В АДАМАВСКОМ РАЙОНЕ, код подразделения 560-027),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Оренбургской области от 05.12.2022г. по делу №А47-16922/2022,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28.04.2023г. по продаже имущества Дыги Надежды Юрьевны,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47,2м², кадастровый номер: 56:02:0103001:173, земельный участок , кадастровый номер: 56:02:0103001:111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28.04.2023г. на сайте https://nistp.ru/ , и указана в Протоколе  от 28.04.2023г.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Дыга Надежда Юрьевна (Олещенко Надежда Юрьевна, Колесникова Надежда Юрьевна) (27.10.1979г.р., место рожд: п. Адамовка Адамовского района Оренбургской области, адрес рег: 462830, Оренбургская обл, Адамовский р-н, Адамовка п, Просторная ул, дом № 16, СНИЛС11521102380, ИНН 561901892416, паспорт РФ серия 5311, номер 012950, выдан 28.01.2011, кем выдан ОТДЕЛЕНИЕМ УФМС РОССИИ ПО ОРЕНБУРГСКОЙ ОБЛАСТИ В АДАМАВСКОМ РАЙОНЕ, код подразделения 560-027)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Дыги Надежды Юрьевны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