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jc w:val="center"/>
        <w:rPr>
          <w:sz w:val="24"/>
          <w:szCs w:val="24"/>
        </w:rPr>
      </w:pPr>
      <w:bookmarkStart w:id="0" w:name="_docStart_1"/>
      <w:bookmarkEnd w:id="0"/>
      <w:bookmarkStart w:id="1" w:name="_title_1"/>
      <w:bookmarkStart w:id="2" w:name="_ref_1-53a43eb5a2024a"/>
      <w:r>
        <w:rPr>
          <w:sz w:val="24"/>
          <w:szCs w:val="24"/>
        </w:rPr>
        <w:t>Договор купли-продажи</w:t>
      </w:r>
      <w:bookmarkEnd w:id="1"/>
      <w:bookmarkEnd w:id="2"/>
      <w:r>
        <w:rPr>
          <w:sz w:val="24"/>
          <w:szCs w:val="24"/>
        </w:rPr>
        <w:t>.</w:t>
      </w:r>
    </w:p>
    <w:p>
      <w:pPr>
        <w:pStyle w:val="31"/>
        <w:jc w:val="both"/>
        <w:rPr>
          <w:sz w:val="24"/>
          <w:szCs w:val="24"/>
        </w:rPr>
      </w:pPr>
    </w:p>
    <w:p>
      <w:pPr>
        <w:pStyle w:val="3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г. Пенза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«____» _____________ 202</w:t>
      </w:r>
      <w:r>
        <w:rPr>
          <w:rFonts w:hint="default"/>
          <w:bCs/>
          <w:sz w:val="24"/>
          <w:szCs w:val="24"/>
          <w:lang w:val="ru-RU"/>
        </w:rPr>
        <w:t>3</w:t>
      </w:r>
      <w:bookmarkStart w:id="31" w:name="_GoBack"/>
      <w:bookmarkEnd w:id="31"/>
      <w:r>
        <w:rPr>
          <w:bCs/>
          <w:sz w:val="24"/>
          <w:szCs w:val="24"/>
        </w:rPr>
        <w:t xml:space="preserve"> г.</w:t>
      </w:r>
    </w:p>
    <w:p>
      <w:pPr>
        <w:pStyle w:val="31"/>
        <w:jc w:val="both"/>
        <w:rPr>
          <w:bCs/>
          <w:sz w:val="24"/>
          <w:szCs w:val="24"/>
        </w:rPr>
      </w:pPr>
    </w:p>
    <w:p>
      <w:pPr>
        <w:pStyle w:val="31"/>
        <w:ind w:firstLine="708"/>
        <w:jc w:val="both"/>
        <w:rPr>
          <w:bCs/>
          <w:sz w:val="24"/>
          <w:szCs w:val="24"/>
        </w:rPr>
      </w:pPr>
      <w:r>
        <w:rPr>
          <w:bCs/>
          <w:spacing w:val="5"/>
          <w:sz w:val="24"/>
          <w:szCs w:val="24"/>
        </w:rPr>
        <w:t>ООО «Витязь-Строймонтажсервис», именуемое в дальнейшем Продавец, в лице конкурсного управляющего Кадерова Рамиля Ислямовича</w:t>
      </w:r>
      <w:r>
        <w:rPr>
          <w:bCs/>
          <w:sz w:val="24"/>
          <w:szCs w:val="24"/>
        </w:rPr>
        <w:t xml:space="preserve">, действующего </w:t>
      </w:r>
      <w:r>
        <w:rPr>
          <w:bCs/>
          <w:color w:val="202124"/>
          <w:sz w:val="24"/>
          <w:szCs w:val="24"/>
        </w:rPr>
        <w:t xml:space="preserve">на основании Решения Арбитражного суда Московской области от 22.10.2018 по делу А41-13065/18, </w:t>
      </w:r>
      <w:r>
        <w:rPr>
          <w:bCs/>
          <w:sz w:val="24"/>
          <w:szCs w:val="24"/>
        </w:rPr>
        <w:t xml:space="preserve">именуемое в дальнейшем «Продавец», с одной стороны, </w:t>
      </w:r>
    </w:p>
    <w:p>
      <w:pPr>
        <w:pStyle w:val="31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 __________________________________,  в лице ___________________________________,  действующего на основании _____________, именуемое в дальнейшем «Покупатель», с другой стороны, </w:t>
      </w:r>
    </w:p>
    <w:p>
      <w:pPr>
        <w:pStyle w:val="31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заключили настоящий договор о нижеследующем:</w:t>
      </w:r>
    </w:p>
    <w:p>
      <w:pPr>
        <w:pStyle w:val="31"/>
        <w:jc w:val="both"/>
        <w:rPr>
          <w:bCs/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3" w:name="_ref_1-80051dff3c044a"/>
      <w:r>
        <w:rPr>
          <w:bCs/>
          <w:sz w:val="24"/>
          <w:szCs w:val="24"/>
        </w:rPr>
        <w:t>Предмет договора</w:t>
      </w:r>
      <w:bookmarkEnd w:id="3"/>
      <w:r>
        <w:rPr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bookmarkStart w:id="4" w:name="_ref_1-48e05ad471504d"/>
      <w:r>
        <w:rPr>
          <w:bCs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</w:t>
      </w:r>
      <w:bookmarkEnd w:id="4"/>
      <w:r>
        <w:rPr>
          <w:bCs/>
          <w:sz w:val="24"/>
          <w:szCs w:val="24"/>
        </w:rPr>
        <w:t xml:space="preserve">следующее имущество, составляющее </w:t>
      </w:r>
      <w:r>
        <w:rPr>
          <w:sz w:val="24"/>
          <w:szCs w:val="24"/>
        </w:rPr>
        <w:t>лот</w:t>
      </w:r>
      <w:r>
        <w:rPr>
          <w:bCs/>
          <w:sz w:val="24"/>
          <w:szCs w:val="24"/>
        </w:rPr>
        <w:t xml:space="preserve"> №1</w:t>
      </w:r>
      <w:r>
        <w:rPr>
          <w:sz w:val="24"/>
          <w:szCs w:val="24"/>
        </w:rPr>
        <w:t>:</w:t>
      </w:r>
      <w:bookmarkStart w:id="5" w:name="_ref_1-0306e5e33ac141"/>
    </w:p>
    <w:p>
      <w:pPr>
        <w:pStyle w:val="3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bookmarkEnd w:id="5"/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Имущество продается на основании ФЗ «О несостоятельности (банкротстве)» № 127-ФЗ от 26 октября 2002 года.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Проведении торгов в форме аукциона открытого по составу участников и по форме представления предложений о цене имущества, в сети интернет на ЭТП - </w:t>
      </w:r>
      <w:r>
        <w:fldChar w:fldCharType="begin"/>
      </w:r>
      <w:r>
        <w:instrText xml:space="preserve"> HYPERLINK "http://nistp.ru/" \t "_blank" </w:instrText>
      </w:r>
      <w:r>
        <w:fldChar w:fldCharType="separate"/>
      </w:r>
      <w:r>
        <w:rPr>
          <w:rStyle w:val="13"/>
          <w:bCs/>
          <w:color w:val="auto"/>
          <w:sz w:val="24"/>
          <w:szCs w:val="24"/>
          <w:u w:val="none"/>
        </w:rPr>
        <w:t>nistp.ru</w:t>
      </w:r>
      <w:r>
        <w:rPr>
          <w:rStyle w:val="13"/>
          <w:bCs/>
          <w:color w:val="auto"/>
          <w:sz w:val="24"/>
          <w:szCs w:val="24"/>
          <w:u w:val="none"/>
        </w:rPr>
        <w:fldChar w:fldCharType="end"/>
      </w:r>
      <w:r>
        <w:rPr>
          <w:bCs/>
          <w:sz w:val="24"/>
          <w:szCs w:val="24"/>
        </w:rPr>
        <w:t xml:space="preserve"> (Итоговый протокол заседания комиссии по проведению торговой процедуры № __________).</w:t>
      </w:r>
    </w:p>
    <w:p>
      <w:pPr>
        <w:pStyle w:val="31"/>
        <w:jc w:val="both"/>
        <w:rPr>
          <w:bCs/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6" w:name="_ref_1-8a4c3e63419840"/>
      <w:r>
        <w:rPr>
          <w:bCs/>
          <w:sz w:val="24"/>
          <w:szCs w:val="24"/>
        </w:rPr>
        <w:t>Цена и порядок оплаты</w:t>
      </w:r>
      <w:bookmarkEnd w:id="6"/>
      <w:r>
        <w:rPr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bookmarkStart w:id="7" w:name="_ref_1-a5c7d5b2418849"/>
      <w:r>
        <w:rPr>
          <w:bCs/>
          <w:sz w:val="24"/>
          <w:szCs w:val="24"/>
        </w:rPr>
        <w:t>Общая стоимость Имущества составляет _____________ (_________________) рубля.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в сумме __________________ руб. перечисленный Покупателем по платежному поручению №__ от _______ года, засчитывается в счет оплаты </w:t>
      </w:r>
      <w:r>
        <w:rPr>
          <w:sz w:val="24"/>
          <w:szCs w:val="24"/>
        </w:rPr>
        <w:t>и</w:t>
      </w:r>
      <w:r>
        <w:rPr>
          <w:bCs/>
          <w:sz w:val="24"/>
          <w:szCs w:val="24"/>
        </w:rPr>
        <w:t>мущества.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За вычетом суммы задатка Покупатель должен уплатить ___________ (____________________рублей в счет оплаты за приобретаемое имущество.</w:t>
      </w:r>
    </w:p>
    <w:p>
      <w:pPr>
        <w:pStyle w:val="31"/>
        <w:numPr>
          <w:ilvl w:val="1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Оплата производится на расчетный счет </w:t>
      </w:r>
      <w:r>
        <w:rPr>
          <w:bCs/>
          <w:spacing w:val="5"/>
          <w:sz w:val="24"/>
          <w:szCs w:val="24"/>
        </w:rPr>
        <w:t>ООО «Витязь-Строймонтажсервис»   р/с 40702810415000003379, Пензенский РФ АО «Россельхозбанк», БИК 045655718, кор/счет 30101810600000000718</w:t>
      </w:r>
      <w:r>
        <w:rPr>
          <w:bCs/>
          <w:sz w:val="24"/>
          <w:szCs w:val="24"/>
        </w:rPr>
        <w:t xml:space="preserve"> не позднее 30 дней с момента подписания настоящего договора. Все платежи по данному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оговору осуществляются в рублях РФ. </w:t>
      </w:r>
      <w:bookmarkEnd w:id="7"/>
      <w:r>
        <w:rPr>
          <w:bCs/>
          <w:sz w:val="24"/>
          <w:szCs w:val="24"/>
        </w:rPr>
        <w:t xml:space="preserve">Датой платежа считается дата поступления денежных средств на расчетный счет должника. Обязательства по оплате имущества Покупателем считаются исполненными с даты зачисления денежных средств на счет должника. </w:t>
      </w:r>
    </w:p>
    <w:p>
      <w:pPr>
        <w:pStyle w:val="31"/>
        <w:jc w:val="both"/>
        <w:rPr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8" w:name="_ref_1-8235d9f04c7743"/>
      <w:r>
        <w:rPr>
          <w:bCs/>
          <w:sz w:val="24"/>
          <w:szCs w:val="24"/>
        </w:rPr>
        <w:t>Передача недвижимого имущества</w:t>
      </w:r>
      <w:bookmarkEnd w:id="8"/>
      <w:r>
        <w:rPr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До подписания настоящего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оговора Покупатель произвел осмотр </w:t>
      </w:r>
      <w:r>
        <w:rPr>
          <w:sz w:val="24"/>
          <w:szCs w:val="24"/>
        </w:rPr>
        <w:t>и</w:t>
      </w:r>
      <w:r>
        <w:rPr>
          <w:bCs/>
          <w:sz w:val="24"/>
          <w:szCs w:val="24"/>
        </w:rPr>
        <w:t>мущества, проверил его качество и подтверждает, что имущество пригодно для целей, для которых оно обычно используется</w:t>
      </w:r>
      <w:bookmarkStart w:id="9" w:name="_ref_1-1c1502d64c6a45"/>
      <w:r>
        <w:rPr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Обязательство Продавца передать недвижимость Покупателю считается исполненным после передачи имущества Покупателю и подписания сторонами акта приема-передачи</w:t>
      </w:r>
      <w:bookmarkEnd w:id="9"/>
      <w:bookmarkStart w:id="10" w:name="_ref_1-005245d2b93e45"/>
      <w:r>
        <w:rPr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Риск случайной гибели или случайного повреждения недвижимого имущества переходит на Покупателя после передачи недвижимого имущества Покупателю и подписания сторонами акта приема-передачи.</w:t>
      </w:r>
      <w:bookmarkEnd w:id="10"/>
      <w:bookmarkStart w:id="11" w:name="_ref_1-4f2fc80f307940"/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Право собственности у Покупателя возникает с момента его регистрации, если иное не установлено законом.</w:t>
      </w:r>
      <w:bookmarkEnd w:id="11"/>
      <w:bookmarkStart w:id="12" w:name="_ref_1-b53480bad0dc4c"/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Расходы по государственной регистрации перехода права собственности несет Покупатель.</w:t>
      </w:r>
      <w:bookmarkEnd w:id="12"/>
    </w:p>
    <w:p>
      <w:pPr>
        <w:pStyle w:val="31"/>
        <w:jc w:val="both"/>
        <w:rPr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3" w:name="_ref_1-5d0ff0d5ace346"/>
      <w:r>
        <w:rPr>
          <w:bCs/>
          <w:sz w:val="24"/>
          <w:szCs w:val="24"/>
        </w:rPr>
        <w:t>Ответственность сторон</w:t>
      </w:r>
      <w:bookmarkEnd w:id="13"/>
      <w:r>
        <w:rPr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bookmarkStart w:id="14" w:name="_ref_1-66f54abdb8684c"/>
      <w:r>
        <w:rPr>
          <w:bCs/>
          <w:sz w:val="24"/>
          <w:szCs w:val="24"/>
        </w:rPr>
        <w:t xml:space="preserve">За невыполнение или ненадлежащее выполнение обязательств по настоящему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оговору виновная сторона несет имущественную ответственность в соответствии с законодательством Российской Федерации и настоящим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>оговором.</w:t>
      </w:r>
      <w:r>
        <w:rPr>
          <w:sz w:val="24"/>
          <w:szCs w:val="24"/>
        </w:rPr>
        <w:t xml:space="preserve"> </w:t>
      </w:r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Покупатель вправе требовать возмещения только реального ущерба, упущенная выгода возмещению не подлежит.</w:t>
      </w:r>
      <w:bookmarkEnd w:id="14"/>
      <w:bookmarkStart w:id="15" w:name="_ref_1-b935d9d59d2241"/>
    </w:p>
    <w:p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Если иное не предусмотрено законом, сторона, не исполнившая или ненадлежащим образом исполнившая свои обязательства при осуществлении предпринимательской </w:t>
      </w:r>
      <w:r>
        <w:rPr>
          <w:sz w:val="24"/>
          <w:szCs w:val="24"/>
        </w:rPr>
        <w:t>деятельности, несет</w:t>
      </w:r>
      <w:r>
        <w:rPr>
          <w:bCs/>
          <w:sz w:val="24"/>
          <w:szCs w:val="24"/>
        </w:rPr>
        <w:t xml:space="preserve">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  <w:bookmarkEnd w:id="15"/>
    </w:p>
    <w:p>
      <w:pPr>
        <w:pStyle w:val="31"/>
        <w:jc w:val="both"/>
        <w:rPr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6" w:name="_ref_1-2d82407d936343"/>
      <w:r>
        <w:rPr>
          <w:bCs/>
          <w:sz w:val="24"/>
          <w:szCs w:val="24"/>
        </w:rPr>
        <w:t>Изменение и расторжение договора</w:t>
      </w:r>
      <w:bookmarkEnd w:id="16"/>
      <w:r>
        <w:rPr>
          <w:bCs/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17" w:name="_ref_1-278b02752ff747"/>
      <w:r>
        <w:rPr>
          <w:bCs/>
          <w:sz w:val="24"/>
          <w:szCs w:val="24"/>
        </w:rPr>
        <w:t>Договор может быть изменен или расторгнут по соглашению сторон.</w:t>
      </w:r>
      <w:bookmarkEnd w:id="17"/>
      <w:bookmarkStart w:id="18" w:name="_ref_1-3705ba1be31044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Существенное изменение обстоятельств, из которых стороны исходили при заключении Договора, не является основанием для его изменения.</w:t>
      </w:r>
      <w:bookmarkEnd w:id="18"/>
      <w:bookmarkStart w:id="19" w:name="_ref_1-9e84b32b09d046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Существенное изменение обстоятельств, из которых стороны исходили при заключении договора, не является основанием для его расторжения.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Если Покупатель в нарушение договора отказывается принять и оплатить имущество, в сроки, предусмотренные настоящим договором, Продавец вправе по своему выбору потребовать оплаты недвижимого имущества либо отказаться от исполнения договора</w:t>
      </w:r>
      <w:bookmarkEnd w:id="19"/>
      <w:r>
        <w:rPr>
          <w:bCs/>
          <w:sz w:val="24"/>
          <w:szCs w:val="24"/>
        </w:rPr>
        <w:t>, письменно уведомив Покупателя. Настоящий договор будет считаться расторгнутым с момента направления Продавцом уведомления Покупателю, при этом Покупатель теряет право на получение имущества и утрачивает право на возврат внесенного задатка.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31"/>
        <w:jc w:val="both"/>
        <w:rPr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20" w:name="_ref_1-f2ffc36a5af946"/>
      <w:r>
        <w:rPr>
          <w:bCs/>
          <w:sz w:val="24"/>
          <w:szCs w:val="24"/>
        </w:rPr>
        <w:t>Разрешение споров</w:t>
      </w:r>
      <w:bookmarkEnd w:id="20"/>
      <w:r>
        <w:rPr>
          <w:bCs/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21" w:name="_ref_1-91e1a48555d24b"/>
      <w:r>
        <w:rPr>
          <w:bCs/>
          <w:sz w:val="24"/>
          <w:szCs w:val="24"/>
        </w:rPr>
        <w:t>До</w:t>
      </w:r>
      <w:bookmarkEnd w:id="21"/>
      <w:bookmarkStart w:id="22" w:name="_ref_1-201a443b6e7740"/>
      <w:r>
        <w:rPr>
          <w:bCs/>
          <w:sz w:val="24"/>
          <w:szCs w:val="24"/>
        </w:rPr>
        <w:t xml:space="preserve">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22"/>
      <w:bookmarkStart w:id="23" w:name="_ref_1-e9f9b359135a4e"/>
      <w:r>
        <w:rPr>
          <w:bCs/>
          <w:sz w:val="24"/>
          <w:szCs w:val="24"/>
        </w:rPr>
        <w:t xml:space="preserve"> 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23"/>
      <w:bookmarkStart w:id="24" w:name="_ref_1-3e59be5aa62e41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Сторона, которая получила претензию, обязана ее рассмотреть и направить письменный мотивированный ответ другой стороне в течение 10 рабочих дней с момента получения претензии.</w:t>
      </w:r>
      <w:bookmarkEnd w:id="24"/>
      <w:bookmarkStart w:id="25" w:name="_ref_1-60a914ad19f445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Заинтересованная сторона вправе передать спор на рассмотрение суда по истечении 15 рабочих дней со дня направления претензии.</w:t>
      </w:r>
      <w:bookmarkEnd w:id="25"/>
      <w:bookmarkStart w:id="26" w:name="_ref_1-93f1e4392e2247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Сторона, которая получила предложение другой стороны об изменении или о расторжении договора, обязана его рассмотреть и дать письменный ответ в течение 10 рабочих дней с момента получения указанного предложения.</w:t>
      </w:r>
      <w:bookmarkEnd w:id="26"/>
      <w:bookmarkStart w:id="27" w:name="_ref_1-9208eeb0525246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Споры, вытекающие из договора, рассматриваются арбитражным судом в порядке, предусмотренном законодательством РФ.</w:t>
      </w:r>
      <w:bookmarkEnd w:id="27"/>
      <w:bookmarkStart w:id="28" w:name="_ref_1-386ebf834ceb46"/>
    </w:p>
    <w:p>
      <w:pPr>
        <w:pStyle w:val="31"/>
        <w:jc w:val="both"/>
        <w:rPr>
          <w:bCs/>
          <w:sz w:val="24"/>
          <w:szCs w:val="24"/>
        </w:rPr>
      </w:pPr>
    </w:p>
    <w:p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Заключительные положения</w:t>
      </w:r>
      <w:bookmarkEnd w:id="28"/>
      <w:r>
        <w:rPr>
          <w:bCs/>
          <w:sz w:val="24"/>
          <w:szCs w:val="24"/>
        </w:rPr>
        <w:t>.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29" w:name="_ref_1-6d7b2842f24f41"/>
      <w:r>
        <w:rPr>
          <w:bCs/>
          <w:sz w:val="24"/>
          <w:szCs w:val="24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29"/>
      <w:r>
        <w:rPr>
          <w:bCs/>
          <w:sz w:val="24"/>
          <w:szCs w:val="24"/>
        </w:rPr>
        <w:t xml:space="preserve">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  <w:bookmarkStart w:id="30" w:name="_ref_1-b21a8b07d0e040"/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 всем, что не оговорено в настоящем договоре, стороны руководствуются законодательством Российской Федерации.</w:t>
      </w:r>
    </w:p>
    <w:p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составлен в трех экземплярах: по одному для каждой из сторон и один для регистрирующего органа.</w:t>
      </w:r>
      <w:bookmarkEnd w:id="30"/>
    </w:p>
    <w:p>
      <w:pPr>
        <w:pStyle w:val="31"/>
        <w:ind w:left="720"/>
        <w:jc w:val="both"/>
        <w:rPr>
          <w:bCs/>
          <w:sz w:val="24"/>
          <w:szCs w:val="24"/>
        </w:rPr>
      </w:pPr>
    </w:p>
    <w:p>
      <w:pPr>
        <w:pStyle w:val="34"/>
        <w:numPr>
          <w:ilvl w:val="0"/>
          <w:numId w:val="2"/>
        </w:numPr>
        <w:spacing w:before="0" w:after="0" w:line="24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Реквизиты и подписи сторон:</w:t>
      </w:r>
    </w:p>
    <w:tbl>
      <w:tblPr>
        <w:tblStyle w:val="19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1"/>
        <w:gridCol w:w="4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pStyle w:val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Продавец:</w:t>
            </w:r>
          </w:p>
        </w:tc>
        <w:tc>
          <w:tcPr>
            <w:tcW w:w="5210" w:type="dxa"/>
          </w:tcPr>
          <w:p>
            <w:pPr>
              <w:pStyle w:val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Конкурсный управляющий </w:t>
            </w:r>
          </w:p>
          <w:p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«Витязь-Строймонтажсервис»   р/с 40702810415000003379, Пензенский РФ АО «Россельхозбанк», БИК 045655718, кор/счет 30101810600000000718..</w:t>
            </w:r>
          </w:p>
        </w:tc>
        <w:tc>
          <w:tcPr>
            <w:tcW w:w="5210" w:type="dxa"/>
          </w:tcPr>
          <w:p>
            <w:pPr>
              <w:pStyle w:val="31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pStyle w:val="31"/>
              <w:rPr>
                <w:bCs/>
                <w:sz w:val="24"/>
                <w:szCs w:val="24"/>
              </w:rPr>
            </w:pPr>
          </w:p>
          <w:p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</w:t>
            </w:r>
          </w:p>
          <w:p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м.п.                                             </w:t>
            </w:r>
            <w:r>
              <w:t xml:space="preserve"> </w:t>
            </w:r>
            <w:r>
              <w:rPr>
                <w:bCs/>
                <w:sz w:val="24"/>
                <w:szCs w:val="24"/>
              </w:rPr>
              <w:t>Р.И.Кадеров</w:t>
            </w:r>
          </w:p>
          <w:p>
            <w:pPr>
              <w:pStyle w:val="31"/>
              <w:tabs>
                <w:tab w:val="left" w:pos="34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ab/>
            </w:r>
          </w:p>
        </w:tc>
        <w:tc>
          <w:tcPr>
            <w:tcW w:w="5210" w:type="dxa"/>
          </w:tcPr>
          <w:p>
            <w:pPr>
              <w:pStyle w:val="31"/>
              <w:rPr>
                <w:bCs/>
                <w:sz w:val="24"/>
                <w:szCs w:val="24"/>
              </w:rPr>
            </w:pPr>
          </w:p>
          <w:p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</w:t>
            </w:r>
          </w:p>
          <w:p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м.п.</w:t>
            </w:r>
          </w:p>
          <w:p>
            <w:pPr>
              <w:pStyle w:val="31"/>
              <w:rPr>
                <w:bCs/>
                <w:sz w:val="24"/>
                <w:szCs w:val="24"/>
              </w:rPr>
            </w:pPr>
          </w:p>
        </w:tc>
      </w:tr>
    </w:tbl>
    <w:p>
      <w:pPr>
        <w:pStyle w:val="31"/>
        <w:ind w:left="720"/>
        <w:jc w:val="both"/>
        <w:rPr>
          <w:bCs/>
          <w:sz w:val="24"/>
          <w:szCs w:val="24"/>
        </w:rPr>
      </w:pPr>
    </w:p>
    <w:p>
      <w:pPr>
        <w:pStyle w:val="31"/>
        <w:jc w:val="both"/>
        <w:rPr>
          <w:bCs/>
          <w:sz w:val="24"/>
          <w:szCs w:val="24"/>
        </w:rPr>
      </w:pPr>
    </w:p>
    <w:p>
      <w:pPr>
        <w:pStyle w:val="31"/>
        <w:jc w:val="both"/>
        <w:rPr>
          <w:bCs/>
          <w:sz w:val="24"/>
          <w:szCs w:val="24"/>
        </w:rPr>
      </w:pPr>
    </w:p>
    <w:p>
      <w:pPr>
        <w:pStyle w:val="31"/>
        <w:jc w:val="both"/>
        <w:rPr>
          <w:bCs/>
          <w:sz w:val="24"/>
          <w:szCs w:val="24"/>
        </w:rPr>
      </w:pPr>
    </w:p>
    <w:sectPr>
      <w:headerReference r:id="rId5" w:type="first"/>
      <w:footerReference r:id="rId7" w:type="first"/>
      <w:footerReference r:id="rId6" w:type="default"/>
      <w:footnotePr>
        <w:numRestart w:val="eachSect"/>
      </w:footnotePr>
      <w:pgSz w:w="11907" w:h="16839"/>
      <w:pgMar w:top="567" w:right="567" w:bottom="567" w:left="1134" w:header="720" w:footer="720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  <w:r>
      <w:t xml:space="preserve"> из </w:t>
    </w:r>
    <w:r>
      <w:fldChar w:fldCharType="begin"/>
    </w:r>
    <w:r>
      <w:instrText xml:space="preserve"> SECTIONPAGES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t>1</w:t>
    </w:r>
    <w:r>
      <w:fldChar w:fldCharType="end"/>
    </w:r>
    <w:r>
      <w:t xml:space="preserve"> из </w:t>
    </w:r>
    <w:r>
      <w:fldChar w:fldCharType="begin"/>
    </w:r>
    <w:r>
      <w:instrText xml:space="preserve"> SECTIONPAGES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jc w:val="lef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56A6"/>
    <w:multiLevelType w:val="multilevel"/>
    <w:tmpl w:val="399256A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F3F770A"/>
    <w:multiLevelType w:val="multilevel"/>
    <w:tmpl w:val="4F3F770A"/>
    <w:lvl w:ilvl="0" w:tentative="0">
      <w:start w:val="1"/>
      <w:numFmt w:val="decimal"/>
      <w:pStyle w:val="2"/>
      <w:suff w:val="space"/>
      <w:lvlText w:val="%1."/>
      <w:lvlJc w:val="left"/>
      <w:rPr>
        <w:rFonts w:hint="default"/>
      </w:rPr>
    </w:lvl>
    <w:lvl w:ilvl="1" w:tentative="0">
      <w:start w:val="1"/>
      <w:numFmt w:val="decimal"/>
      <w:pStyle w:val="3"/>
      <w:suff w:val="space"/>
      <w:lvlText w:val="%1.%2."/>
      <w:lvlJc w:val="left"/>
      <w:rPr>
        <w:rFonts w:hint="default"/>
      </w:rPr>
    </w:lvl>
    <w:lvl w:ilvl="2" w:tentative="0">
      <w:start w:val="1"/>
      <w:numFmt w:val="decimal"/>
      <w:pStyle w:val="4"/>
      <w:suff w:val="space"/>
      <w:lvlText w:val="%1.%2.%3."/>
      <w:lvlJc w:val="left"/>
      <w:rPr>
        <w:rFonts w:hint="default"/>
      </w:rPr>
    </w:lvl>
    <w:lvl w:ilvl="3" w:tentative="0">
      <w:start w:val="1"/>
      <w:numFmt w:val="decimal"/>
      <w:pStyle w:val="5"/>
      <w:suff w:val="space"/>
      <w:lvlText w:val="%1.%2.%3.%4."/>
      <w:lvlJc w:val="left"/>
      <w:rPr>
        <w:rFonts w:hint="default"/>
      </w:rPr>
    </w:lvl>
    <w:lvl w:ilvl="4" w:tentative="0">
      <w:start w:val="1"/>
      <w:numFmt w:val="decimal"/>
      <w:pStyle w:val="6"/>
      <w:suff w:val="space"/>
      <w:lvlText w:val="%1.%2.%3.%4.%5."/>
      <w:lvlJc w:val="left"/>
      <w:rPr>
        <w:rFonts w:hint="default"/>
      </w:rPr>
    </w:lvl>
    <w:lvl w:ilvl="5" w:tentative="0">
      <w:start w:val="1"/>
      <w:numFmt w:val="decimal"/>
      <w:pStyle w:val="7"/>
      <w:suff w:val="space"/>
      <w:lvlText w:val="%1.%2.%3.%4.%5.%6."/>
      <w:lvlJc w:val="left"/>
      <w:rPr>
        <w:rFonts w:hint="default"/>
      </w:rPr>
    </w:lvl>
    <w:lvl w:ilvl="6" w:tentative="0">
      <w:start w:val="1"/>
      <w:numFmt w:val="decimal"/>
      <w:pStyle w:val="8"/>
      <w:suff w:val="space"/>
      <w:lvlText w:val="%1.%2.%3.%4.%5.%6.%7."/>
      <w:lvlJc w:val="left"/>
      <w:rPr>
        <w:rFonts w:hint="default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rPr>
        <w:rFonts w:hint="default"/>
      </w:rPr>
    </w:lvl>
    <w:lvl w:ilvl="8" w:tentative="0">
      <w:start w:val="1"/>
      <w:numFmt w:val="decimal"/>
      <w:pStyle w:val="10"/>
      <w:suff w:val="space"/>
      <w:lvlText w:val="%1.%2.%3.%4.%5.%6.%7.%8.%9.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708"/>
  <w:characterSpacingControl w:val="doNotCompress"/>
  <w:footnotePr>
    <w:numRestart w:val="eachSect"/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8D"/>
    <w:rsid w:val="00012116"/>
    <w:rsid w:val="000F3B62"/>
    <w:rsid w:val="00124114"/>
    <w:rsid w:val="00183A3F"/>
    <w:rsid w:val="001B2080"/>
    <w:rsid w:val="001D50F0"/>
    <w:rsid w:val="00317F6E"/>
    <w:rsid w:val="0033058D"/>
    <w:rsid w:val="003806B3"/>
    <w:rsid w:val="0038091B"/>
    <w:rsid w:val="00405E58"/>
    <w:rsid w:val="00417051"/>
    <w:rsid w:val="00596924"/>
    <w:rsid w:val="006716AA"/>
    <w:rsid w:val="0068658C"/>
    <w:rsid w:val="00754B9A"/>
    <w:rsid w:val="00801E90"/>
    <w:rsid w:val="00843F59"/>
    <w:rsid w:val="00936C72"/>
    <w:rsid w:val="00957340"/>
    <w:rsid w:val="009F1C28"/>
    <w:rsid w:val="00A00645"/>
    <w:rsid w:val="00A641A4"/>
    <w:rsid w:val="00AF0BD0"/>
    <w:rsid w:val="00BE5C99"/>
    <w:rsid w:val="00C84186"/>
    <w:rsid w:val="00CF1CA3"/>
    <w:rsid w:val="00DB3255"/>
    <w:rsid w:val="00E7189C"/>
    <w:rsid w:val="00F31201"/>
    <w:rsid w:val="00F85FD3"/>
    <w:rsid w:val="00F93764"/>
    <w:rsid w:val="00FC362B"/>
    <w:rsid w:val="00FE0071"/>
    <w:rsid w:val="00FF46A1"/>
    <w:rsid w:val="02CE0BE9"/>
    <w:rsid w:val="7023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before="120" w:after="120" w:line="276" w:lineRule="auto"/>
      <w:ind w:firstLine="482"/>
      <w:jc w:val="both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numPr>
        <w:ilvl w:val="0"/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3">
    <w:name w:val="heading 2"/>
    <w:basedOn w:val="1"/>
    <w:next w:val="1"/>
    <w:link w:val="21"/>
    <w:qFormat/>
    <w:uiPriority w:val="9"/>
    <w:pPr>
      <w:numPr>
        <w:ilvl w:val="1"/>
        <w:numId w:val="1"/>
      </w:numPr>
      <w:outlineLvl w:val="1"/>
    </w:pPr>
    <w:rPr>
      <w:bCs/>
      <w:szCs w:val="26"/>
    </w:rPr>
  </w:style>
  <w:style w:type="paragraph" w:styleId="4">
    <w:name w:val="heading 3"/>
    <w:basedOn w:val="1"/>
    <w:next w:val="1"/>
    <w:link w:val="22"/>
    <w:qFormat/>
    <w:uiPriority w:val="9"/>
    <w:pPr>
      <w:numPr>
        <w:ilvl w:val="2"/>
        <w:numId w:val="1"/>
      </w:numPr>
      <w:outlineLvl w:val="2"/>
    </w:pPr>
    <w:rPr>
      <w:bCs/>
    </w:rPr>
  </w:style>
  <w:style w:type="paragraph" w:styleId="5">
    <w:name w:val="heading 4"/>
    <w:basedOn w:val="1"/>
    <w:next w:val="1"/>
    <w:link w:val="23"/>
    <w:qFormat/>
    <w:uiPriority w:val="9"/>
    <w:pPr>
      <w:numPr>
        <w:ilvl w:val="3"/>
        <w:numId w:val="1"/>
      </w:numPr>
      <w:outlineLvl w:val="3"/>
    </w:pPr>
    <w:rPr>
      <w:bCs/>
      <w:iCs/>
    </w:rPr>
  </w:style>
  <w:style w:type="paragraph" w:styleId="6">
    <w:name w:val="heading 5"/>
    <w:basedOn w:val="1"/>
    <w:next w:val="1"/>
    <w:link w:val="24"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7">
    <w:name w:val="heading 6"/>
    <w:basedOn w:val="1"/>
    <w:next w:val="1"/>
    <w:link w:val="25"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8">
    <w:name w:val="heading 7"/>
    <w:basedOn w:val="1"/>
    <w:next w:val="1"/>
    <w:link w:val="26"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9">
    <w:name w:val="heading 8"/>
    <w:basedOn w:val="1"/>
    <w:next w:val="1"/>
    <w:link w:val="27"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10">
    <w:name w:val="heading 9"/>
    <w:basedOn w:val="1"/>
    <w:next w:val="1"/>
    <w:link w:val="28"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semiHidden/>
    <w:unhideWhenUsed/>
    <w:uiPriority w:val="99"/>
    <w:rPr>
      <w:color w:val="0000FF"/>
      <w:u w:val="single"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paragraph" w:styleId="16">
    <w:name w:val="Title"/>
    <w:basedOn w:val="1"/>
    <w:next w:val="1"/>
    <w:link w:val="30"/>
    <w:qFormat/>
    <w:uiPriority w:val="10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paragraph" w:styleId="17">
    <w:name w:val="footer"/>
    <w:basedOn w:val="1"/>
    <w:link w:val="33"/>
    <w:unhideWhenUsed/>
    <w:uiPriority w:val="99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table" w:styleId="19">
    <w:name w:val="Table Grid"/>
    <w:basedOn w:val="12"/>
    <w:unhideWhenUsed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bCs/>
      <w:sz w:val="24"/>
      <w:szCs w:val="28"/>
      <w:lang w:eastAsia="ru-RU"/>
    </w:rPr>
  </w:style>
  <w:style w:type="character" w:customStyle="1" w:styleId="21">
    <w:name w:val="Заголовок 2 Знак"/>
    <w:basedOn w:val="11"/>
    <w:link w:val="3"/>
    <w:qFormat/>
    <w:uiPriority w:val="9"/>
    <w:rPr>
      <w:rFonts w:ascii="Times New Roman" w:hAnsi="Times New Roman" w:eastAsia="Times New Roman" w:cs="Times New Roman"/>
      <w:bCs/>
      <w:szCs w:val="26"/>
      <w:lang w:eastAsia="ru-RU"/>
    </w:rPr>
  </w:style>
  <w:style w:type="character" w:customStyle="1" w:styleId="22">
    <w:name w:val="Заголовок 3 Знак"/>
    <w:basedOn w:val="11"/>
    <w:link w:val="4"/>
    <w:qFormat/>
    <w:uiPriority w:val="9"/>
    <w:rPr>
      <w:rFonts w:ascii="Times New Roman" w:hAnsi="Times New Roman" w:eastAsia="Times New Roman" w:cs="Times New Roman"/>
      <w:bCs/>
      <w:lang w:eastAsia="ru-RU"/>
    </w:rPr>
  </w:style>
  <w:style w:type="character" w:customStyle="1" w:styleId="23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Cs/>
      <w:iCs/>
      <w:lang w:eastAsia="ru-RU"/>
    </w:rPr>
  </w:style>
  <w:style w:type="character" w:customStyle="1" w:styleId="24">
    <w:name w:val="Заголовок 5 Знак"/>
    <w:basedOn w:val="11"/>
    <w:link w:val="6"/>
    <w:uiPriority w:val="9"/>
    <w:rPr>
      <w:rFonts w:ascii="Times New Roman" w:hAnsi="Times New Roman" w:eastAsia="Times New Roman" w:cs="Times New Roman"/>
      <w:lang w:eastAsia="ru-RU"/>
    </w:rPr>
  </w:style>
  <w:style w:type="character" w:customStyle="1" w:styleId="25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i/>
      <w:iCs/>
      <w:color w:val="243F60"/>
      <w:lang w:eastAsia="ru-RU"/>
    </w:rPr>
  </w:style>
  <w:style w:type="character" w:customStyle="1" w:styleId="26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i/>
      <w:iCs/>
      <w:color w:val="404040"/>
      <w:lang w:eastAsia="ru-RU"/>
    </w:rPr>
  </w:style>
  <w:style w:type="character" w:customStyle="1" w:styleId="27">
    <w:name w:val="Заголовок 8 Знак"/>
    <w:basedOn w:val="11"/>
    <w:link w:val="9"/>
    <w:qFormat/>
    <w:uiPriority w:val="9"/>
    <w:rPr>
      <w:rFonts w:ascii="Times New Roman" w:hAnsi="Times New Roman" w:eastAsia="Times New Roman" w:cs="Times New Roman"/>
      <w:color w:val="4F81BD"/>
      <w:szCs w:val="20"/>
      <w:lang w:eastAsia="ru-RU"/>
    </w:rPr>
  </w:style>
  <w:style w:type="character" w:customStyle="1" w:styleId="28">
    <w:name w:val="Заголовок 9 Знак"/>
    <w:basedOn w:val="11"/>
    <w:link w:val="10"/>
    <w:uiPriority w:val="9"/>
    <w:rPr>
      <w:rFonts w:ascii="Times New Roman" w:hAnsi="Times New Roman" w:eastAsia="Times New Roman" w:cs="Times New Roman"/>
      <w:i/>
      <w:iCs/>
      <w:color w:val="404040"/>
      <w:szCs w:val="20"/>
      <w:lang w:eastAsia="ru-RU"/>
    </w:rPr>
  </w:style>
  <w:style w:type="paragraph" w:customStyle="1" w:styleId="29">
    <w:name w:val="Normal unindented"/>
    <w:qFormat/>
    <w:uiPriority w:val="0"/>
    <w:pPr>
      <w:spacing w:before="120" w:after="120" w:line="276" w:lineRule="auto"/>
      <w:jc w:val="both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customStyle="1" w:styleId="30">
    <w:name w:val="Название Знак"/>
    <w:basedOn w:val="11"/>
    <w:link w:val="16"/>
    <w:qFormat/>
    <w:uiPriority w:val="10"/>
    <w:rPr>
      <w:rFonts w:ascii="Times New Roman" w:hAnsi="Times New Roman" w:eastAsia="Times New Roman" w:cs="Times New Roman"/>
      <w:b/>
      <w:spacing w:val="5"/>
      <w:kern w:val="28"/>
      <w:sz w:val="28"/>
      <w:szCs w:val="52"/>
      <w:lang w:eastAsia="ru-RU"/>
    </w:rPr>
  </w:style>
  <w:style w:type="paragraph" w:styleId="31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customStyle="1" w:styleId="32">
    <w:name w:val="Верхний колонтитул Знак"/>
    <w:basedOn w:val="11"/>
    <w:link w:val="15"/>
    <w:qFormat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customStyle="1" w:styleId="33">
    <w:name w:val="Нижний колонтитул Знак"/>
    <w:basedOn w:val="11"/>
    <w:link w:val="17"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1036</Words>
  <Characters>5906</Characters>
  <Lines>49</Lines>
  <Paragraphs>13</Paragraphs>
  <TotalTime>10</TotalTime>
  <ScaleCrop>false</ScaleCrop>
  <LinksUpToDate>false</LinksUpToDate>
  <CharactersWithSpaces>6929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2021-12-08T02:38:00Z</dcterms:created>
  <dc:creator>Work</dc:creator>
  <cp:lastModifiedBy>Таня Фомина</cp:lastModifiedBy>
  <dcterms:modified xsi:type="dcterms:W3CDTF">2023-02-27T16:39:42Z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3A6316E92BC740B883A24AE765F76550</vt:lpwstr>
  </property>
</Properties>
</file>