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tbl>
      <w:tblPr>
        <w:tblStyle w:val="TableStyle0"/>
        <w:tblW w:w="10386" w:type="dxa"/>
        <w:jc w:val="left"/>
        <w:tblInd w:w="9" w:type="dxa"/>
        <w:tblCellMar>
          <w:top w:w="0" w:type="dxa"/>
          <w:left w:w="0" w:type="dxa"/>
          <w:bottom w:w="0" w:type="dxa"/>
          <w:right w:w="0" w:type="dxa"/>
        </w:tblCellMar>
        <w:tblLook w:val="04a0"/>
      </w:tblPr>
      <w:tblGrid>
        <w:gridCol w:w="936"/>
        <w:gridCol w:w="936"/>
        <w:gridCol w:w="948"/>
        <w:gridCol w:w="948"/>
        <w:gridCol w:w="948"/>
        <w:gridCol w:w="948"/>
        <w:gridCol w:w="936"/>
        <w:gridCol w:w="948"/>
        <w:gridCol w:w="948"/>
        <w:gridCol w:w="948"/>
        <w:gridCol w:w="942"/>
      </w:tblGrid>
      <w:tr>
        <w:trPr>
          <w:trHeight w:val="315" w:hRule="exact"/>
        </w:trPr>
        <w:tc>
          <w:tcPr>
            <w:tcW w:w="10386" w:type="dxa"/>
            <w:gridSpan w:val="11"/>
            <w:tcBorders/>
            <w:shd w:color="FFFFFF" w:fill="auto" w:val="clear"/>
            <w:vAlign w:val="bottom"/>
          </w:tcPr>
          <w:p>
            <w:pPr>
              <w:pStyle w:val="Normal"/>
              <w:bidi w:val="0"/>
              <w:spacing w:lineRule="auto" w:line="240" w:before="0" w:after="0"/>
              <w:jc w:val="center"/>
              <w:rPr>
                <w:rFonts w:ascii="Times New Roman" w:hAnsi="Times New Roman"/>
                <w:b/>
                <w:b/>
                <w:sz w:val="20"/>
                <w:szCs w:val="20"/>
              </w:rPr>
            </w:pPr>
            <w:r>
              <w:rPr>
                <w:rFonts w:ascii="Times New Roman" w:hAnsi="Times New Roman"/>
                <w:b/>
                <w:sz w:val="20"/>
                <w:szCs w:val="20"/>
              </w:rPr>
              <w:t>Предварительный договор</w:t>
            </w:r>
          </w:p>
        </w:tc>
      </w:tr>
      <w:tr>
        <w:trPr>
          <w:trHeight w:val="270" w:hRule="exact"/>
        </w:trPr>
        <w:tc>
          <w:tcPr>
            <w:tcW w:w="10386" w:type="dxa"/>
            <w:gridSpan w:val="11"/>
            <w:tcBorders/>
            <w:shd w:color="FFFFFF" w:fill="auto" w:val="clear"/>
            <w:vAlign w:val="bottom"/>
          </w:tcPr>
          <w:p>
            <w:pPr>
              <w:pStyle w:val="Normal"/>
              <w:bidi w:val="0"/>
              <w:spacing w:lineRule="auto" w:line="240" w:before="0" w:after="0"/>
              <w:jc w:val="center"/>
              <w:rPr>
                <w:rFonts w:ascii="Times New Roman" w:hAnsi="Times New Roman"/>
                <w:b/>
                <w:b/>
                <w:sz w:val="20"/>
                <w:szCs w:val="20"/>
              </w:rPr>
            </w:pPr>
            <w:r>
              <w:rPr>
                <w:rFonts w:ascii="Times New Roman" w:hAnsi="Times New Roman"/>
                <w:b/>
                <w:sz w:val="20"/>
                <w:szCs w:val="20"/>
              </w:rPr>
              <w:t>купли-продажи</w:t>
            </w:r>
          </w:p>
        </w:tc>
      </w:tr>
      <w:tr>
        <w:trPr>
          <w:trHeight w:val="270" w:hRule="exact"/>
        </w:trPr>
        <w:tc>
          <w:tcPr>
            <w:tcW w:w="9444" w:type="dxa"/>
            <w:gridSpan w:val="10"/>
            <w:tcBorders/>
            <w:shd w:color="FFFFFF" w:fill="auto" w:val="clear"/>
          </w:tcPr>
          <w:p>
            <w:pPr>
              <w:pStyle w:val="Normal"/>
              <w:bidi w:val="0"/>
              <w:spacing w:lineRule="auto" w:line="240" w:before="0" w:after="0"/>
              <w:jc w:val="right"/>
              <w:rPr>
                <w:rFonts w:ascii="Times New Roman" w:hAnsi="Times New Roman"/>
                <w:sz w:val="20"/>
                <w:szCs w:val="20"/>
              </w:rPr>
            </w:pPr>
            <w:r>
              <w:rPr>
                <w:rFonts w:ascii="Times New Roman" w:hAnsi="Times New Roman"/>
                <w:sz w:val="20"/>
                <w:szCs w:val="20"/>
              </w:rPr>
              <w:t xml:space="preserve"> </w:t>
            </w:r>
          </w:p>
        </w:tc>
        <w:tc>
          <w:tcPr>
            <w:tcW w:w="942" w:type="dxa"/>
            <w:tcBorders/>
            <w:shd w:color="FFFFFF" w:fill="auto" w:val="clear"/>
            <w:vAlign w:val="bottom"/>
          </w:tcPr>
          <w:p>
            <w:pPr>
              <w:pStyle w:val="Normal"/>
              <w:bidi w:val="0"/>
              <w:spacing w:lineRule="auto" w:line="240" w:before="0" w:after="0"/>
              <w:jc w:val="center"/>
              <w:rPr>
                <w:rFonts w:ascii="Times New Roman" w:hAnsi="Times New Roman"/>
                <w:b/>
                <w:b/>
                <w:sz w:val="20"/>
                <w:szCs w:val="20"/>
              </w:rPr>
            </w:pPr>
            <w:r>
              <w:rPr>
                <w:rFonts w:ascii="Times New Roman" w:hAnsi="Times New Roman"/>
                <w:b/>
                <w:sz w:val="20"/>
                <w:szCs w:val="20"/>
              </w:rPr>
            </w:r>
          </w:p>
        </w:tc>
      </w:tr>
      <w:tr>
        <w:trPr>
          <w:trHeight w:val="1695" w:hRule="exact"/>
        </w:trPr>
        <w:tc>
          <w:tcPr>
            <w:tcW w:w="10386" w:type="dxa"/>
            <w:gridSpan w:val="11"/>
            <w:tcBorders/>
            <w:shd w:color="FFFFFF" w:fill="auto" w:val="clear"/>
            <w:vAlign w:val="bottom"/>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 xml:space="preserve">Гражданин РФ Хафизова Гульсария Галимардановна (05.04.1967г.р., место рожд: дер. Казаклар Тукаевского района Татарской АССР, адрес рег: 423874, Татарстан Респ, Тукаевский р-н, Казаклар д, Нурми Шарипова ул, дом № 76, СНИЛС04343926550, ИНН 163900152154, паспорт РФ серия 9210, номер 120262, выдан 20.04.2012, кем выдан Территориальным пунктом УФМС России по Республике Татарстан в Тукаевском районе, код подразделения 160-016), в лице Гражданина РФ Финансового управляющего Шуховцева Алексея Алексеевича (ИНН 745303758710, СНИЛС 06716445979, рег.номер 20205), действующего на основании решения Арбитражного суда Республики Татарстан от 18.11.2022г. по делу №А65-23688/2022, именуемый в дальнейшем «Продавец», с одной стороны, и </w:t>
            </w:r>
          </w:p>
        </w:tc>
      </w:tr>
      <w:tr>
        <w:trPr>
          <w:trHeight w:val="495" w:hRule="exact"/>
        </w:trPr>
        <w:tc>
          <w:tcPr>
            <w:tcW w:w="10386" w:type="dxa"/>
            <w:gridSpan w:val="11"/>
            <w:tcBorders/>
            <w:shd w:color="FFFFFF" w:fill="auto" w:val="clear"/>
            <w:vAlign w:val="bottom"/>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Гражданин РФ  , именуемый в дальнейшем «Покупатель» с другой стороны, а совместно именуемые «Стороны», заключили настоящий договор о нижеследующем,</w:t>
            </w:r>
          </w:p>
        </w:tc>
      </w:tr>
      <w:tr>
        <w:trPr>
          <w:trHeight w:val="300" w:hRule="exact"/>
        </w:trPr>
        <w:tc>
          <w:tcPr>
            <w:tcW w:w="10386" w:type="dxa"/>
            <w:gridSpan w:val="11"/>
            <w:tcBorders/>
            <w:shd w:color="FFFFFF" w:fill="auto" w:val="clear"/>
            <w:vAlign w:val="bottom"/>
          </w:tcPr>
          <w:p>
            <w:pPr>
              <w:pStyle w:val="Normal"/>
              <w:bidi w:val="0"/>
              <w:spacing w:lineRule="auto" w:line="240" w:before="0" w:after="0"/>
              <w:jc w:val="center"/>
              <w:rPr>
                <w:rFonts w:ascii="Times New Roman" w:hAnsi="Times New Roman"/>
                <w:b/>
                <w:b/>
                <w:sz w:val="20"/>
                <w:szCs w:val="20"/>
              </w:rPr>
            </w:pPr>
            <w:r>
              <w:rPr>
                <w:rFonts w:ascii="Times New Roman" w:hAnsi="Times New Roman"/>
                <w:b/>
                <w:sz w:val="20"/>
                <w:szCs w:val="20"/>
              </w:rPr>
              <w:t>1.  Предмет договора</w:t>
            </w:r>
          </w:p>
        </w:tc>
      </w:tr>
      <w:tr>
        <w:trPr>
          <w:trHeight w:val="975" w:hRule="exact"/>
        </w:trPr>
        <w:tc>
          <w:tcPr>
            <w:tcW w:w="10386" w:type="dxa"/>
            <w:gridSpan w:val="11"/>
            <w:tcBorders/>
            <w:shd w:color="FFFFFF" w:fill="auto" w:val="clear"/>
            <w:vAlign w:val="bottom"/>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1.1. Продавец обязуется известить всех участников долевой собственности в письменной форме или в виде извещения на официальном сайте Федеральной службы государственной регистрации кадастра и картографии в сети интернет — https://rosreestr.gov.ru/site/ о намерении продать долю в объекте недвижимости (далее по тексту — объект недвижимости) с указанием цены, размера, местоположения объекта недвижимости.</w:t>
            </w:r>
          </w:p>
        </w:tc>
      </w:tr>
      <w:tr>
        <w:trPr>
          <w:trHeight w:val="1215" w:hRule="exact"/>
        </w:trPr>
        <w:tc>
          <w:tcPr>
            <w:tcW w:w="10386" w:type="dxa"/>
            <w:gridSpan w:val="11"/>
            <w:tcBorders/>
            <w:shd w:color="FFFFFF" w:fill="auto" w:val="clear"/>
            <w:vAlign w:val="bottom"/>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1.2. Продавец обязуется после получения отказа от преимущественного права покупки от всех участников долевой собственности или на момент возврат извещения отправителю (продавцу) или по истечении 30 дней после размещения извещения на официальном сайте Федеральной службы государственной регистрации кадастра и картографии в сети интернет — https://rosreestr.gov.ru/site/ передать в собственность Покупателю путем заключения договора купли-продажи («Основной договор») следующий Объект недвижимости:</w:t>
            </w:r>
          </w:p>
        </w:tc>
      </w:tr>
      <w:tr>
        <w:trPr>
          <w:trHeight w:val="1665" w:hRule="exact"/>
        </w:trPr>
        <w:tc>
          <w:tcPr>
            <w:tcW w:w="10386" w:type="dxa"/>
            <w:gridSpan w:val="11"/>
            <w:tcBorders/>
            <w:shd w:color="FFFFFF" w:fill="auto" w:val="clear"/>
            <w:vAlign w:val="bottom"/>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t>ЛОТ №1 — 9/330 доли в праве общей долевой собственности на земельный участок площаь: 1560891.2вк.м., кадастровый номер: 16:39:201001:62, категория земель: земли сельскохозяйственного назначения, вид разрешенного</w:t>
            </w:r>
          </w:p>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t>использования: для сельскохозяйственного производства, адрес (местонахождение): 423874, Татарстан Респ, Тукаевский р-н, Тлянче#Тамак с, квартира 001/62</w:t>
            </w:r>
          </w:p>
        </w:tc>
      </w:tr>
      <w:tr>
        <w:trPr>
          <w:trHeight w:val="495" w:hRule="exact"/>
        </w:trPr>
        <w:tc>
          <w:tcPr>
            <w:tcW w:w="10386" w:type="dxa"/>
            <w:gridSpan w:val="11"/>
            <w:tcBorders/>
            <w:shd w:color="FFFFFF" w:fill="auto" w:val="clear"/>
            <w:vAlign w:val="bottom"/>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1.3. Стороны обязуются заключить Основной договор купли-продажи объекта недвижимости в срок не позднее 27.05.2023.</w:t>
            </w:r>
          </w:p>
        </w:tc>
      </w:tr>
      <w:tr>
        <w:trPr>
          <w:trHeight w:val="300" w:hRule="exact"/>
        </w:trPr>
        <w:tc>
          <w:tcPr>
            <w:tcW w:w="10386" w:type="dxa"/>
            <w:gridSpan w:val="11"/>
            <w:tcBorders/>
            <w:shd w:color="FFFFFF" w:fill="auto" w:val="clear"/>
            <w:vAlign w:val="bottom"/>
          </w:tcPr>
          <w:p>
            <w:pPr>
              <w:pStyle w:val="Normal"/>
              <w:bidi w:val="0"/>
              <w:spacing w:lineRule="auto" w:line="240" w:before="0" w:after="0"/>
              <w:jc w:val="center"/>
              <w:rPr>
                <w:rFonts w:ascii="Times New Roman" w:hAnsi="Times New Roman"/>
                <w:b/>
                <w:b/>
                <w:sz w:val="20"/>
                <w:szCs w:val="20"/>
              </w:rPr>
            </w:pPr>
            <w:r>
              <w:rPr>
                <w:rFonts w:ascii="Times New Roman" w:hAnsi="Times New Roman"/>
                <w:b/>
                <w:sz w:val="20"/>
                <w:szCs w:val="20"/>
              </w:rPr>
              <w:t>2.  Условия основного договора</w:t>
            </w:r>
          </w:p>
        </w:tc>
      </w:tr>
      <w:tr>
        <w:trPr>
          <w:trHeight w:val="495" w:hRule="exact"/>
        </w:trPr>
        <w:tc>
          <w:tcPr>
            <w:tcW w:w="10386" w:type="dxa"/>
            <w:gridSpan w:val="11"/>
            <w:tcBorders/>
            <w:shd w:color="FFFFFF" w:fill="auto" w:val="clear"/>
            <w:vAlign w:val="bottom"/>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2.1. По Основному договору Продавец обязуется передать в собственность Покупателя Объект недвижимости, а Покупатель обязуется его принять и оплатить.</w:t>
            </w:r>
          </w:p>
        </w:tc>
      </w:tr>
      <w:tr>
        <w:trPr>
          <w:trHeight w:val="735" w:hRule="exact"/>
        </w:trPr>
        <w:tc>
          <w:tcPr>
            <w:tcW w:w="10386" w:type="dxa"/>
            <w:gridSpan w:val="11"/>
            <w:tcBorders/>
            <w:shd w:color="FFFFFF" w:fill="auto" w:val="clear"/>
            <w:vAlign w:val="bottom"/>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 xml:space="preserve">2.2. Стоимость продаваемого Объекта недвижимости составляет 0 (Ноль рублей 00 копеек) без учета НДС (подпункт 15 п.2 ст.146 НК), Задаток, оплаченный Покупателем, составляет 0 (Ноль рублей 00 копеек), итоговая сумма оплаты Покупателем составляет 0 (Ноль рублей 00 копеек). </w:t>
            </w:r>
          </w:p>
        </w:tc>
      </w:tr>
      <w:tr>
        <w:trPr>
          <w:trHeight w:val="300" w:hRule="exact"/>
        </w:trPr>
        <w:tc>
          <w:tcPr>
            <w:tcW w:w="10386" w:type="dxa"/>
            <w:gridSpan w:val="11"/>
            <w:tcBorders/>
            <w:shd w:color="FFFFFF" w:fill="auto" w:val="clear"/>
            <w:vAlign w:val="bottom"/>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2.3. Продавец обязуется:</w:t>
            </w:r>
          </w:p>
        </w:tc>
      </w:tr>
      <w:tr>
        <w:trPr>
          <w:trHeight w:val="300" w:hRule="exact"/>
        </w:trPr>
        <w:tc>
          <w:tcPr>
            <w:tcW w:w="10386" w:type="dxa"/>
            <w:gridSpan w:val="11"/>
            <w:tcBorders/>
            <w:shd w:color="FFFFFF" w:fill="auto" w:val="clear"/>
            <w:vAlign w:val="bottom"/>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2.3.1. Передать Покупателю имущество по акту приема-передачи.</w:t>
            </w:r>
          </w:p>
        </w:tc>
      </w:tr>
      <w:tr>
        <w:trPr>
          <w:trHeight w:val="735" w:hRule="exact"/>
        </w:trPr>
        <w:tc>
          <w:tcPr>
            <w:tcW w:w="10386" w:type="dxa"/>
            <w:gridSpan w:val="11"/>
            <w:tcBorders/>
            <w:shd w:color="FFFFFF" w:fill="auto" w:val="clear"/>
            <w:vAlign w:val="bottom"/>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2.3.2. Передать Покупателю по акту приема-передачи все необходимые документы для регистрации перехода права собственности на выигранное на открытых торгах имущество в течение 30 (тридцати) рабочих дней с момента поступления на расчетный счет Продавца денежных средств в соответствии с настоящим договором.</w:t>
            </w:r>
          </w:p>
        </w:tc>
      </w:tr>
      <w:tr>
        <w:trPr>
          <w:trHeight w:val="735" w:hRule="exact"/>
        </w:trPr>
        <w:tc>
          <w:tcPr>
            <w:tcW w:w="10386" w:type="dxa"/>
            <w:gridSpan w:val="11"/>
            <w:tcBorders/>
            <w:shd w:color="FFFFFF" w:fill="auto" w:val="clear"/>
            <w:vAlign w:val="bottom"/>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2.3.3. Расходы, связанные с государственной регистрацией имущества, уведомлением сособственников о преимуществом праве покупки и соблюдением правил оформления сделки по продаже доли, и иные расходы по сделке несет «Покупатель».</w:t>
            </w:r>
          </w:p>
        </w:tc>
      </w:tr>
      <w:tr>
        <w:trPr>
          <w:trHeight w:val="300" w:hRule="exact"/>
        </w:trPr>
        <w:tc>
          <w:tcPr>
            <w:tcW w:w="10386" w:type="dxa"/>
            <w:gridSpan w:val="11"/>
            <w:tcBorders/>
            <w:shd w:color="FFFFFF" w:fill="auto" w:val="clear"/>
            <w:vAlign w:val="bottom"/>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2.4. Покупатель обязан:</w:t>
            </w:r>
          </w:p>
        </w:tc>
      </w:tr>
      <w:tr>
        <w:trPr>
          <w:trHeight w:val="300" w:hRule="exact"/>
        </w:trPr>
        <w:tc>
          <w:tcPr>
            <w:tcW w:w="10386" w:type="dxa"/>
            <w:gridSpan w:val="11"/>
            <w:tcBorders/>
            <w:shd w:color="FFFFFF" w:fill="auto" w:val="clear"/>
            <w:vAlign w:val="bottom"/>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2.4.1. Оплатить полную стоимость имущества в соответствии с основным договором.</w:t>
            </w:r>
          </w:p>
        </w:tc>
      </w:tr>
      <w:tr>
        <w:trPr>
          <w:trHeight w:val="495" w:hRule="exact"/>
        </w:trPr>
        <w:tc>
          <w:tcPr>
            <w:tcW w:w="10386" w:type="dxa"/>
            <w:gridSpan w:val="11"/>
            <w:tcBorders/>
            <w:shd w:color="FFFFFF" w:fill="auto" w:val="clear"/>
            <w:vAlign w:val="bottom"/>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2.4.2. В течение 30 (тридцати) рабочих дней со дня исполнения всех своих обязательств, предусмотренных настоящим договором, принять от Продавца имущество по акту приема-передачи.</w:t>
            </w:r>
          </w:p>
        </w:tc>
      </w:tr>
      <w:tr>
        <w:trPr>
          <w:trHeight w:val="300" w:hRule="exact"/>
        </w:trPr>
        <w:tc>
          <w:tcPr>
            <w:tcW w:w="10386" w:type="dxa"/>
            <w:gridSpan w:val="11"/>
            <w:tcBorders/>
            <w:shd w:color="FFFFFF" w:fill="auto" w:val="clear"/>
            <w:vAlign w:val="bottom"/>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2.4.3. Уплатить государственную пошлину за государственную регистрацию перехода права собственности.</w:t>
            </w:r>
          </w:p>
        </w:tc>
      </w:tr>
      <w:tr>
        <w:trPr>
          <w:trHeight w:val="285" w:hRule="exact"/>
        </w:trPr>
        <w:tc>
          <w:tcPr>
            <w:tcW w:w="10386" w:type="dxa"/>
            <w:gridSpan w:val="11"/>
            <w:tcBorders/>
            <w:shd w:color="FFFFFF" w:fill="auto" w:val="clear"/>
            <w:vAlign w:val="bottom"/>
          </w:tcPr>
          <w:p>
            <w:pPr>
              <w:pStyle w:val="Normal"/>
              <w:bidi w:val="0"/>
              <w:spacing w:lineRule="auto" w:line="240" w:before="0" w:after="0"/>
              <w:jc w:val="left"/>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2.4.4. Осуществить государственную регистрацию перехода права собственности на имущество к Покупателю.</w:t>
            </w:r>
          </w:p>
        </w:tc>
      </w:tr>
      <w:tr>
        <w:trPr>
          <w:trHeight w:val="285" w:hRule="exact"/>
        </w:trPr>
        <w:tc>
          <w:tcPr>
            <w:tcW w:w="10386" w:type="dxa"/>
            <w:gridSpan w:val="11"/>
            <w:tcBorders/>
            <w:shd w:color="FFFFFF" w:fill="auto" w:val="clear"/>
            <w:vAlign w:val="bottom"/>
          </w:tcPr>
          <w:p>
            <w:pPr>
              <w:pStyle w:val="Normal"/>
              <w:bidi w:val="0"/>
              <w:spacing w:lineRule="auto" w:line="240" w:before="0" w:after="0"/>
              <w:jc w:val="center"/>
              <w:rPr>
                <w:rFonts w:ascii="Times New Roman" w:hAnsi="Times New Roman"/>
                <w:b/>
                <w:b/>
                <w:sz w:val="20"/>
                <w:szCs w:val="20"/>
              </w:rPr>
            </w:pPr>
            <w:r>
              <w:rPr>
                <w:rFonts w:ascii="Times New Roman" w:hAnsi="Times New Roman"/>
                <w:b/>
                <w:sz w:val="20"/>
                <w:szCs w:val="20"/>
              </w:rPr>
              <w:t>3. Ответственность Сторон</w:t>
            </w:r>
          </w:p>
        </w:tc>
      </w:tr>
      <w:tr>
        <w:trPr>
          <w:trHeight w:val="510" w:hRule="exact"/>
        </w:trPr>
        <w:tc>
          <w:tcPr>
            <w:tcW w:w="10386" w:type="dxa"/>
            <w:gridSpan w:val="11"/>
            <w:tcBorders/>
            <w:shd w:color="FFFFFF" w:fill="auto" w:val="clear"/>
            <w:vAlign w:val="bottom"/>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3.1. В случае, если одна из Сторон будет уклоняться от заключения Основного договора, то уклоняющаяся Сторона должна будет оплатить добросовестной Стороне штраф в размере суммы задатка.</w:t>
            </w:r>
          </w:p>
        </w:tc>
      </w:tr>
      <w:tr>
        <w:trPr>
          <w:trHeight w:val="525" w:hRule="exact"/>
        </w:trPr>
        <w:tc>
          <w:tcPr>
            <w:tcW w:w="10386" w:type="dxa"/>
            <w:gridSpan w:val="11"/>
            <w:tcBorders/>
            <w:shd w:color="FFFFFF" w:fill="auto" w:val="clear"/>
            <w:vAlign w:val="bottom"/>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3.2. В случае, если одна из Сторон будет уклоняться от заключения Основного договора, то уклоняющаяся Сторона должна будет возместить добросовестной Стороне убытки, причиненные таким уклонением.</w:t>
            </w:r>
          </w:p>
        </w:tc>
      </w:tr>
      <w:tr>
        <w:trPr>
          <w:trHeight w:val="570" w:hRule="exact"/>
        </w:trPr>
        <w:tc>
          <w:tcPr>
            <w:tcW w:w="10386" w:type="dxa"/>
            <w:gridSpan w:val="11"/>
            <w:tcBorders/>
            <w:shd w:color="FFFFFF" w:fill="auto" w:val="clear"/>
            <w:vAlign w:val="bottom"/>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3.3. В случае уклонения одной из Сторон от заключения Основного договора вторая Сторона вправе обратиться в суд с требованием о понуждении заключить Основной договор купли-продажи Предмета договора.</w:t>
            </w:r>
          </w:p>
        </w:tc>
      </w:tr>
      <w:tr>
        <w:trPr>
          <w:trHeight w:val="285" w:hRule="exact"/>
        </w:trPr>
        <w:tc>
          <w:tcPr>
            <w:tcW w:w="10386" w:type="dxa"/>
            <w:gridSpan w:val="11"/>
            <w:tcBorders/>
            <w:shd w:color="FFFFFF" w:fill="auto" w:val="clear"/>
            <w:vAlign w:val="bottom"/>
          </w:tcPr>
          <w:p>
            <w:pPr>
              <w:pStyle w:val="Normal"/>
              <w:bidi w:val="0"/>
              <w:spacing w:lineRule="auto" w:line="240" w:before="0" w:after="0"/>
              <w:jc w:val="center"/>
              <w:rPr>
                <w:rFonts w:ascii="Times New Roman" w:hAnsi="Times New Roman"/>
                <w:b/>
                <w:b/>
                <w:sz w:val="20"/>
                <w:szCs w:val="20"/>
              </w:rPr>
            </w:pPr>
            <w:r>
              <w:rPr>
                <w:rFonts w:ascii="Times New Roman" w:hAnsi="Times New Roman"/>
                <w:b/>
                <w:sz w:val="20"/>
                <w:szCs w:val="20"/>
              </w:rPr>
              <w:t>4. Разрешение споров</w:t>
            </w:r>
          </w:p>
        </w:tc>
      </w:tr>
      <w:tr>
        <w:trPr>
          <w:trHeight w:val="810" w:hRule="exact"/>
        </w:trPr>
        <w:tc>
          <w:tcPr>
            <w:tcW w:w="10386" w:type="dxa"/>
            <w:gridSpan w:val="11"/>
            <w:tcBorders/>
            <w:shd w:color="FFFFFF" w:fill="auto" w:val="clear"/>
            <w:vAlign w:val="bottom"/>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4.1. Все споры и разногласия, которые могут возникнуть между Сторонами по вопросам, не нашедшим своего разрешения в тексте настоящего Договора, будут разрешаться путем переговоров на основе действующего законодательства Российской Федерации.</w:t>
            </w:r>
          </w:p>
        </w:tc>
      </w:tr>
      <w:tr>
        <w:trPr>
          <w:trHeight w:val="540" w:hRule="exact"/>
        </w:trPr>
        <w:tc>
          <w:tcPr>
            <w:tcW w:w="10386" w:type="dxa"/>
            <w:gridSpan w:val="11"/>
            <w:tcBorders/>
            <w:shd w:color="FFFFFF" w:fill="auto" w:val="clear"/>
            <w:vAlign w:val="bottom"/>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4.2. При невозможности урегулирования спорных вопросов в процессе переговоров споры разрешаются в суде в порядке, установленном действующим законодательством Российской Федерации.</w:t>
            </w:r>
          </w:p>
        </w:tc>
      </w:tr>
      <w:tr>
        <w:trPr>
          <w:trHeight w:val="345" w:hRule="exact"/>
        </w:trPr>
        <w:tc>
          <w:tcPr>
            <w:tcW w:w="10386" w:type="dxa"/>
            <w:gridSpan w:val="11"/>
            <w:tcBorders/>
            <w:shd w:color="FFFFFF" w:fill="auto" w:val="clear"/>
            <w:vAlign w:val="bottom"/>
          </w:tcPr>
          <w:p>
            <w:pPr>
              <w:pStyle w:val="Normal"/>
              <w:bidi w:val="0"/>
              <w:spacing w:lineRule="auto" w:line="240" w:before="0" w:after="0"/>
              <w:jc w:val="center"/>
              <w:rPr>
                <w:rFonts w:ascii="Times New Roman" w:hAnsi="Times New Roman"/>
                <w:b/>
                <w:b/>
                <w:sz w:val="20"/>
                <w:szCs w:val="20"/>
              </w:rPr>
            </w:pPr>
            <w:r>
              <w:rPr>
                <w:rFonts w:ascii="Times New Roman" w:hAnsi="Times New Roman"/>
                <w:b/>
                <w:sz w:val="20"/>
                <w:szCs w:val="20"/>
              </w:rPr>
              <w:t>5. Заключительные положения</w:t>
            </w:r>
          </w:p>
        </w:tc>
      </w:tr>
      <w:tr>
        <w:trPr>
          <w:trHeight w:val="525" w:hRule="exact"/>
        </w:trPr>
        <w:tc>
          <w:tcPr>
            <w:tcW w:w="10386" w:type="dxa"/>
            <w:gridSpan w:val="11"/>
            <w:tcBorders/>
            <w:shd w:color="FFFFFF" w:fill="auto" w:val="clear"/>
            <w:vAlign w:val="bottom"/>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5.1. Настоящий договор является предварительным и содержит основные условия для заключения Основного договора купли-продажи, который стороны обязуются заключить в срок не позднее 27.05.2023.</w:t>
            </w:r>
          </w:p>
        </w:tc>
      </w:tr>
      <w:tr>
        <w:trPr>
          <w:trHeight w:val="1215" w:hRule="exact"/>
        </w:trPr>
        <w:tc>
          <w:tcPr>
            <w:tcW w:w="10386" w:type="dxa"/>
            <w:gridSpan w:val="11"/>
            <w:tcBorders/>
            <w:shd w:color="FFFFFF" w:fill="auto" w:val="clear"/>
            <w:vAlign w:val="bottom"/>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5.2.  В случае несоответствия действительности гарантий, указанных в п. 1.3. договора, и установления указанных обстоятельств после заключения настоящего или Основного договора, Покупатель имеет право в одностороннем внесудебном порядке расторгнуть настоящий договор, направив Продавцу соответствующее уведомление. Продавец обязуется в течение 5-х рабочих дней с момента получения уведомления о расторжении договора возвратить сумму полученного задатка.</w:t>
            </w:r>
          </w:p>
        </w:tc>
      </w:tr>
      <w:tr>
        <w:trPr>
          <w:trHeight w:val="720" w:hRule="exact"/>
        </w:trPr>
        <w:tc>
          <w:tcPr>
            <w:tcW w:w="10386" w:type="dxa"/>
            <w:gridSpan w:val="11"/>
            <w:tcBorders/>
            <w:shd w:color="FFFFFF" w:fill="auto" w:val="clear"/>
            <w:vAlign w:val="bottom"/>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5.3. Настоящий договор содержит весь объем соглашений между сторонами в отношении предмета настоящего договора, отменяет и делает недействительными все иные обязательства, которые могли быть приняты и сделаны сторонами в устной или письменной форме до заключения настоящего договора.</w:t>
            </w:r>
          </w:p>
        </w:tc>
      </w:tr>
      <w:tr>
        <w:trPr>
          <w:trHeight w:val="285" w:hRule="exact"/>
        </w:trPr>
        <w:tc>
          <w:tcPr>
            <w:tcW w:w="10386" w:type="dxa"/>
            <w:gridSpan w:val="11"/>
            <w:tcBorders/>
            <w:shd w:color="FFFFFF" w:fill="auto" w:val="clear"/>
            <w:vAlign w:val="bottom"/>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5.4. Настоящий договор составлен в двух одинаковых экземплярах, по одному для каждой Стороны.</w:t>
            </w:r>
          </w:p>
        </w:tc>
      </w:tr>
      <w:tr>
        <w:trPr>
          <w:trHeight w:val="555" w:hRule="exact"/>
        </w:trPr>
        <w:tc>
          <w:tcPr>
            <w:tcW w:w="10386" w:type="dxa"/>
            <w:gridSpan w:val="11"/>
            <w:tcBorders/>
            <w:shd w:color="FFFFFF" w:fill="auto" w:val="clear"/>
            <w:vAlign w:val="bottom"/>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5.5. Во всем ином, неоговоренном в настоящем договоре, Стороны руководствуются действующим законодательством РФ.</w:t>
            </w:r>
          </w:p>
        </w:tc>
      </w:tr>
      <w:tr>
        <w:trPr>
          <w:trHeight w:val="555" w:hRule="exact"/>
        </w:trPr>
        <w:tc>
          <w:tcPr>
            <w:tcW w:w="10386" w:type="dxa"/>
            <w:gridSpan w:val="11"/>
            <w:tcBorders/>
            <w:shd w:color="FFFFFF" w:fill="auto" w:val="clear"/>
            <w:vAlign w:val="bottom"/>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5.6. Настоящий договор вступает в силу с момента подписания и действует до полного выполнения Сторонами своих обязательств по настоящему договору.</w:t>
            </w:r>
          </w:p>
        </w:tc>
      </w:tr>
      <w:tr>
        <w:trPr>
          <w:trHeight w:val="285" w:hRule="exact"/>
        </w:trPr>
        <w:tc>
          <w:tcPr>
            <w:tcW w:w="10386" w:type="dxa"/>
            <w:gridSpan w:val="11"/>
            <w:tcBorders/>
            <w:shd w:color="FFFFFF" w:fill="auto" w:val="clear"/>
            <w:vAlign w:val="bottom"/>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5.7. Договор Сторонами прочитан, последствия заключаемой сделки сторонам известны.</w:t>
            </w:r>
          </w:p>
        </w:tc>
      </w:tr>
      <w:tr>
        <w:trPr>
          <w:trHeight w:val="285" w:hRule="exact"/>
        </w:trPr>
        <w:tc>
          <w:tcPr>
            <w:tcW w:w="10386" w:type="dxa"/>
            <w:gridSpan w:val="11"/>
            <w:tcBorders/>
            <w:shd w:color="FFFFFF" w:fill="auto" w:val="clear"/>
            <w:vAlign w:val="bottom"/>
          </w:tcPr>
          <w:p>
            <w:pPr>
              <w:pStyle w:val="Normal"/>
              <w:bidi w:val="0"/>
              <w:spacing w:lineRule="auto" w:line="240" w:before="0" w:after="0"/>
              <w:jc w:val="center"/>
              <w:rPr>
                <w:rFonts w:ascii="Times New Roman" w:hAnsi="Times New Roman"/>
                <w:b/>
                <w:b/>
                <w:sz w:val="20"/>
                <w:szCs w:val="20"/>
              </w:rPr>
            </w:pPr>
            <w:r>
              <w:rPr>
                <w:rFonts w:ascii="Times New Roman" w:hAnsi="Times New Roman"/>
                <w:b/>
                <w:sz w:val="20"/>
                <w:szCs w:val="20"/>
              </w:rPr>
              <w:t>6. Реквизиты и подписи Сторон</w:t>
            </w:r>
          </w:p>
        </w:tc>
      </w:tr>
      <w:tr>
        <w:trPr>
          <w:trHeight w:val="285" w:hRule="exact"/>
        </w:trPr>
        <w:tc>
          <w:tcPr>
            <w:tcW w:w="4716" w:type="dxa"/>
            <w:gridSpan w:val="5"/>
            <w:tcBorders/>
            <w:shd w:color="FFFFFF" w:fill="auto" w:val="clear"/>
            <w:vAlign w:val="bottom"/>
          </w:tcPr>
          <w:p>
            <w:pPr>
              <w:pStyle w:val="Normal"/>
              <w:bidi w:val="0"/>
              <w:spacing w:lineRule="auto" w:line="240" w:before="0" w:after="0"/>
              <w:jc w:val="center"/>
              <w:rPr>
                <w:rFonts w:ascii="Times New Roman" w:hAnsi="Times New Roman"/>
                <w:b/>
                <w:b/>
                <w:sz w:val="20"/>
                <w:szCs w:val="20"/>
              </w:rPr>
            </w:pPr>
            <w:r>
              <w:rPr>
                <w:rFonts w:ascii="Times New Roman" w:hAnsi="Times New Roman"/>
                <w:b/>
                <w:sz w:val="20"/>
                <w:szCs w:val="20"/>
              </w:rPr>
              <w:t>Продавец:</w:t>
            </w:r>
          </w:p>
        </w:tc>
        <w:tc>
          <w:tcPr>
            <w:tcW w:w="5670" w:type="dxa"/>
            <w:gridSpan w:val="6"/>
            <w:tcBorders/>
            <w:shd w:color="FFFFFF" w:fill="auto" w:val="clear"/>
            <w:vAlign w:val="bottom"/>
          </w:tcPr>
          <w:p>
            <w:pPr>
              <w:pStyle w:val="Normal"/>
              <w:bidi w:val="0"/>
              <w:spacing w:lineRule="auto" w:line="240" w:before="0" w:after="0"/>
              <w:jc w:val="center"/>
              <w:rPr>
                <w:rFonts w:ascii="Times New Roman" w:hAnsi="Times New Roman"/>
                <w:b/>
                <w:b/>
                <w:sz w:val="20"/>
                <w:szCs w:val="20"/>
              </w:rPr>
            </w:pPr>
            <w:r>
              <w:rPr>
                <w:rFonts w:ascii="Times New Roman" w:hAnsi="Times New Roman"/>
                <w:b/>
                <w:sz w:val="20"/>
                <w:szCs w:val="20"/>
              </w:rPr>
              <w:t>Покупатель:</w:t>
            </w:r>
          </w:p>
        </w:tc>
      </w:tr>
      <w:tr>
        <w:trPr>
          <w:trHeight w:val="285" w:hRule="exact"/>
        </w:trPr>
        <w:tc>
          <w:tcPr>
            <w:tcW w:w="4716" w:type="dxa"/>
            <w:gridSpan w:val="5"/>
            <w:tcBorders/>
            <w:shd w:color="FFFFFF" w:fill="auto" w:val="clear"/>
            <w:vAlign w:val="bottom"/>
          </w:tcPr>
          <w:p>
            <w:pPr>
              <w:pStyle w:val="Normal"/>
              <w:bidi w:val="0"/>
              <w:spacing w:lineRule="auto" w:line="240" w:before="0" w:after="0"/>
              <w:jc w:val="center"/>
              <w:rPr>
                <w:rFonts w:ascii="Times New Roman" w:hAnsi="Times New Roman"/>
                <w:b/>
                <w:b/>
                <w:sz w:val="20"/>
                <w:szCs w:val="20"/>
              </w:rPr>
            </w:pPr>
            <w:r>
              <w:rPr>
                <w:rFonts w:ascii="Times New Roman" w:hAnsi="Times New Roman"/>
                <w:b/>
                <w:sz w:val="20"/>
                <w:szCs w:val="20"/>
              </w:rPr>
              <w:t>Гражданин РФ</w:t>
            </w:r>
          </w:p>
        </w:tc>
        <w:tc>
          <w:tcPr>
            <w:tcW w:w="5670" w:type="dxa"/>
            <w:gridSpan w:val="6"/>
            <w:tcBorders/>
            <w:shd w:color="FFFFFF" w:fill="auto" w:val="clear"/>
            <w:vAlign w:val="bottom"/>
          </w:tcPr>
          <w:p>
            <w:pPr>
              <w:pStyle w:val="Normal"/>
              <w:bidi w:val="0"/>
              <w:spacing w:lineRule="auto" w:line="240" w:before="0" w:after="0"/>
              <w:jc w:val="center"/>
              <w:rPr>
                <w:rFonts w:ascii="Times New Roman" w:hAnsi="Times New Roman"/>
                <w:b/>
                <w:b/>
                <w:sz w:val="20"/>
                <w:szCs w:val="20"/>
              </w:rPr>
            </w:pPr>
            <w:r>
              <w:rPr>
                <w:rFonts w:ascii="Times New Roman" w:hAnsi="Times New Roman"/>
                <w:b/>
                <w:sz w:val="20"/>
                <w:szCs w:val="20"/>
              </w:rPr>
              <w:t>Гражданин РФ</w:t>
            </w:r>
          </w:p>
        </w:tc>
      </w:tr>
      <w:tr>
        <w:trPr>
          <w:trHeight w:val="2175" w:hRule="exact"/>
        </w:trPr>
        <w:tc>
          <w:tcPr>
            <w:tcW w:w="4716" w:type="dxa"/>
            <w:gridSpan w:val="5"/>
            <w:tcBorders/>
            <w:shd w:color="FFFFFF" w:fill="auto" w:val="clear"/>
            <w:vAlign w:val="bottom"/>
          </w:tcPr>
          <w:p>
            <w:pPr>
              <w:pStyle w:val="Normal"/>
              <w:bidi w:val="0"/>
              <w:spacing w:lineRule="auto" w:line="240" w:before="0" w:after="0"/>
              <w:jc w:val="both"/>
              <w:rPr>
                <w:rFonts w:ascii="Times New Roman" w:hAnsi="Times New Roman"/>
                <w:b/>
                <w:b/>
                <w:sz w:val="20"/>
                <w:szCs w:val="20"/>
              </w:rPr>
            </w:pPr>
            <w:r>
              <w:rPr>
                <w:rFonts w:ascii="Times New Roman" w:hAnsi="Times New Roman"/>
                <w:b/>
                <w:sz w:val="20"/>
                <w:szCs w:val="20"/>
              </w:rPr>
              <w:t>Хафизова Гульсария Галимардановна (05.04.1967г.р., место рожд: дер. Казаклар Тукаевского района Татарской АССР, адрес рег: 423874, Татарстан Респ, Тукаевский р-н, Казаклар д, Нурми Шарипова ул, дом № 76, СНИЛС04343926550, ИНН 163900152154, паспорт РФ серия 9210, номер 120262, выдан 20.04.2012, кем выдан Территориальным пунктом УФМС России по Республике Татарстан в Тукаевском районе, код подразделения 160-016)</w:t>
            </w:r>
          </w:p>
        </w:tc>
        <w:tc>
          <w:tcPr>
            <w:tcW w:w="5670" w:type="dxa"/>
            <w:gridSpan w:val="6"/>
            <w:vMerge w:val="restart"/>
            <w:tcBorders/>
            <w:shd w:color="FFFFFF" w:fill="auto" w:val="clear"/>
          </w:tcPr>
          <w:p>
            <w:pPr>
              <w:pStyle w:val="Normal"/>
              <w:bidi w:val="0"/>
              <w:spacing w:lineRule="auto" w:line="240" w:before="0" w:after="0"/>
              <w:jc w:val="both"/>
              <w:rPr>
                <w:rFonts w:ascii="Times New Roman" w:hAnsi="Times New Roman"/>
                <w:b/>
                <w:b/>
                <w:sz w:val="20"/>
                <w:szCs w:val="20"/>
              </w:rPr>
            </w:pPr>
            <w:r>
              <w:rPr>
                <w:rFonts w:ascii="Times New Roman" w:hAnsi="Times New Roman"/>
                <w:b/>
                <w:sz w:val="20"/>
                <w:szCs w:val="20"/>
              </w:rPr>
            </w:r>
          </w:p>
        </w:tc>
      </w:tr>
      <w:tr>
        <w:trPr>
          <w:trHeight w:val="300" w:hRule="exact"/>
        </w:trPr>
        <w:tc>
          <w:tcPr>
            <w:tcW w:w="4716" w:type="dxa"/>
            <w:gridSpan w:val="5"/>
            <w:tcBorders/>
            <w:shd w:color="FFFFFF" w:fill="auto" w:val="clear"/>
            <w:vAlign w:val="bottom"/>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t>Реквизиты</w:t>
            </w:r>
          </w:p>
        </w:tc>
        <w:tc>
          <w:tcPr>
            <w:tcW w:w="5670" w:type="dxa"/>
            <w:gridSpan w:val="6"/>
            <w:vMerge w:val="continue"/>
            <w:tcBorders/>
            <w:shd w:color="FFFFFF" w:fill="auto" w:val="clear"/>
          </w:tcPr>
          <w:p>
            <w:pPr>
              <w:pStyle w:val="Normal"/>
              <w:bidi w:val="0"/>
              <w:spacing w:lineRule="auto" w:line="240" w:before="0" w:after="0"/>
              <w:jc w:val="both"/>
              <w:rPr>
                <w:rFonts w:ascii="Times New Roman" w:hAnsi="Times New Roman"/>
                <w:b/>
                <w:b/>
                <w:sz w:val="20"/>
                <w:szCs w:val="20"/>
              </w:rPr>
            </w:pPr>
            <w:r>
              <w:rPr>
                <w:rFonts w:ascii="Times New Roman" w:hAnsi="Times New Roman"/>
                <w:b/>
                <w:sz w:val="20"/>
                <w:szCs w:val="20"/>
              </w:rPr>
            </w:r>
          </w:p>
        </w:tc>
      </w:tr>
      <w:tr>
        <w:trPr>
          <w:trHeight w:val="495" w:hRule="exact"/>
        </w:trPr>
        <w:tc>
          <w:tcPr>
            <w:tcW w:w="4716" w:type="dxa"/>
            <w:gridSpan w:val="5"/>
            <w:tcBorders/>
            <w:shd w:color="FFFFFF" w:fill="auto" w:val="clear"/>
            <w:vAlign w:val="bottom"/>
          </w:tcPr>
          <w:p>
            <w:pPr>
              <w:pStyle w:val="Normal"/>
              <w:bidi w:val="0"/>
              <w:spacing w:lineRule="auto" w:line="240" w:before="0" w:after="0"/>
              <w:jc w:val="left"/>
              <w:rPr>
                <w:rFonts w:ascii="Times New Roman" w:hAnsi="Times New Roman"/>
                <w:sz w:val="20"/>
                <w:szCs w:val="20"/>
              </w:rPr>
            </w:pPr>
            <w:r>
              <w:rPr>
                <w:rFonts w:ascii="Times New Roman" w:hAnsi="Times New Roman"/>
                <w:sz w:val="20"/>
                <w:szCs w:val="20"/>
              </w:rPr>
              <w:t>Арбитражный управляющий Шуховцев Алексей Алексеевич (ИНН 745303758710)</w:t>
            </w:r>
          </w:p>
        </w:tc>
        <w:tc>
          <w:tcPr>
            <w:tcW w:w="5670" w:type="dxa"/>
            <w:gridSpan w:val="6"/>
            <w:vMerge w:val="continue"/>
            <w:tcBorders/>
            <w:shd w:color="FFFFFF" w:fill="auto" w:val="clear"/>
          </w:tcPr>
          <w:p>
            <w:pPr>
              <w:pStyle w:val="Normal"/>
              <w:bidi w:val="0"/>
              <w:spacing w:lineRule="auto" w:line="240" w:before="0" w:after="0"/>
              <w:jc w:val="both"/>
              <w:rPr>
                <w:rFonts w:ascii="Times New Roman" w:hAnsi="Times New Roman"/>
                <w:b/>
                <w:b/>
                <w:sz w:val="20"/>
                <w:szCs w:val="20"/>
              </w:rPr>
            </w:pPr>
            <w:r>
              <w:rPr>
                <w:rFonts w:ascii="Times New Roman" w:hAnsi="Times New Roman"/>
                <w:b/>
                <w:sz w:val="20"/>
                <w:szCs w:val="20"/>
              </w:rPr>
            </w:r>
          </w:p>
        </w:tc>
      </w:tr>
      <w:tr>
        <w:trPr>
          <w:trHeight w:val="1215" w:hRule="exact"/>
        </w:trPr>
        <w:tc>
          <w:tcPr>
            <w:tcW w:w="4716" w:type="dxa"/>
            <w:gridSpan w:val="5"/>
            <w:tcBorders/>
            <w:shd w:color="FFFFFF" w:fill="auto" w:val="clear"/>
            <w:vAlign w:val="bottom"/>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t>Р/СЧ 40802810972000066742</w:t>
              <w:br/>
              <w:t>БИК 047501602</w:t>
              <w:br/>
              <w:t>КР/СЧ 30101810700000000602</w:t>
              <w:br/>
              <w:t>НАИМЕНОВАНИЕ БАНКА ЧЕЛЯБИНСКОЕ ОСБ N 8597</w:t>
            </w:r>
          </w:p>
        </w:tc>
        <w:tc>
          <w:tcPr>
            <w:tcW w:w="5670" w:type="dxa"/>
            <w:gridSpan w:val="6"/>
            <w:vMerge w:val="continue"/>
            <w:tcBorders/>
            <w:shd w:color="FFFFFF" w:fill="auto" w:val="clear"/>
          </w:tcPr>
          <w:p>
            <w:pPr>
              <w:pStyle w:val="Normal"/>
              <w:bidi w:val="0"/>
              <w:spacing w:lineRule="auto" w:line="240" w:before="0" w:after="0"/>
              <w:jc w:val="both"/>
              <w:rPr>
                <w:rFonts w:ascii="Times New Roman" w:hAnsi="Times New Roman"/>
                <w:b/>
                <w:b/>
                <w:sz w:val="20"/>
                <w:szCs w:val="20"/>
              </w:rPr>
            </w:pPr>
            <w:r>
              <w:rPr>
                <w:rFonts w:ascii="Times New Roman" w:hAnsi="Times New Roman"/>
                <w:b/>
                <w:sz w:val="20"/>
                <w:szCs w:val="20"/>
              </w:rPr>
            </w:r>
          </w:p>
        </w:tc>
      </w:tr>
      <w:tr>
        <w:trPr>
          <w:trHeight w:val="300" w:hRule="exact"/>
        </w:trPr>
        <w:tc>
          <w:tcPr>
            <w:tcW w:w="936" w:type="dxa"/>
            <w:tcBorders/>
            <w:shd w:color="FFFFFF" w:fill="auto" w:val="clear"/>
            <w:vAlign w:val="bottom"/>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r>
          </w:p>
        </w:tc>
        <w:tc>
          <w:tcPr>
            <w:tcW w:w="936" w:type="dxa"/>
            <w:tcBorders/>
            <w:shd w:color="FFFFFF" w:fill="auto" w:val="clear"/>
            <w:vAlign w:val="bottom"/>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r>
          </w:p>
        </w:tc>
        <w:tc>
          <w:tcPr>
            <w:tcW w:w="948" w:type="dxa"/>
            <w:tcBorders/>
            <w:shd w:color="FFFFFF" w:fill="auto" w:val="clear"/>
            <w:vAlign w:val="bottom"/>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r>
          </w:p>
        </w:tc>
        <w:tc>
          <w:tcPr>
            <w:tcW w:w="948" w:type="dxa"/>
            <w:tcBorders/>
            <w:shd w:color="FFFFFF" w:fill="auto" w:val="clear"/>
            <w:vAlign w:val="bottom"/>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r>
          </w:p>
        </w:tc>
        <w:tc>
          <w:tcPr>
            <w:tcW w:w="948" w:type="dxa"/>
            <w:tcBorders/>
            <w:shd w:color="FFFFFF" w:fill="auto" w:val="clear"/>
            <w:vAlign w:val="bottom"/>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r>
          </w:p>
        </w:tc>
        <w:tc>
          <w:tcPr>
            <w:tcW w:w="5670" w:type="dxa"/>
            <w:gridSpan w:val="6"/>
            <w:vMerge w:val="continue"/>
            <w:tcBorders/>
            <w:shd w:color="FFFFFF" w:fill="auto" w:val="clear"/>
          </w:tcPr>
          <w:p>
            <w:pPr>
              <w:pStyle w:val="Normal"/>
              <w:bidi w:val="0"/>
              <w:spacing w:lineRule="auto" w:line="240" w:before="0" w:after="0"/>
              <w:jc w:val="both"/>
              <w:rPr>
                <w:rFonts w:ascii="Times New Roman" w:hAnsi="Times New Roman"/>
                <w:b/>
                <w:b/>
                <w:sz w:val="20"/>
                <w:szCs w:val="20"/>
              </w:rPr>
            </w:pPr>
            <w:r>
              <w:rPr>
                <w:rFonts w:ascii="Times New Roman" w:hAnsi="Times New Roman"/>
                <w:b/>
                <w:sz w:val="20"/>
                <w:szCs w:val="20"/>
              </w:rPr>
            </w:r>
          </w:p>
        </w:tc>
      </w:tr>
      <w:tr>
        <w:trPr>
          <w:trHeight w:val="300" w:hRule="exact"/>
        </w:trPr>
        <w:tc>
          <w:tcPr>
            <w:tcW w:w="936" w:type="dxa"/>
            <w:tcBorders/>
            <w:shd w:color="FFFFFF" w:fill="auto" w:val="clear"/>
            <w:vAlign w:val="bottom"/>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r>
          </w:p>
        </w:tc>
        <w:tc>
          <w:tcPr>
            <w:tcW w:w="936" w:type="dxa"/>
            <w:tcBorders/>
            <w:shd w:color="FFFFFF" w:fill="auto" w:val="clear"/>
            <w:vAlign w:val="bottom"/>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r>
          </w:p>
        </w:tc>
        <w:tc>
          <w:tcPr>
            <w:tcW w:w="948" w:type="dxa"/>
            <w:tcBorders/>
            <w:shd w:color="FFFFFF" w:fill="auto" w:val="clear"/>
            <w:vAlign w:val="bottom"/>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r>
          </w:p>
        </w:tc>
        <w:tc>
          <w:tcPr>
            <w:tcW w:w="948" w:type="dxa"/>
            <w:tcBorders/>
            <w:shd w:color="FFFFFF" w:fill="auto" w:val="clear"/>
            <w:vAlign w:val="bottom"/>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r>
          </w:p>
        </w:tc>
        <w:tc>
          <w:tcPr>
            <w:tcW w:w="948" w:type="dxa"/>
            <w:tcBorders/>
            <w:shd w:color="FFFFFF" w:fill="auto" w:val="clear"/>
            <w:vAlign w:val="bottom"/>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r>
          </w:p>
        </w:tc>
        <w:tc>
          <w:tcPr>
            <w:tcW w:w="5670" w:type="dxa"/>
            <w:gridSpan w:val="6"/>
            <w:vMerge w:val="continue"/>
            <w:tcBorders/>
            <w:shd w:color="FFFFFF" w:fill="auto" w:val="clear"/>
          </w:tcPr>
          <w:p>
            <w:pPr>
              <w:pStyle w:val="Normal"/>
              <w:bidi w:val="0"/>
              <w:spacing w:lineRule="auto" w:line="240" w:before="0" w:after="0"/>
              <w:jc w:val="both"/>
              <w:rPr>
                <w:rFonts w:ascii="Times New Roman" w:hAnsi="Times New Roman"/>
                <w:b/>
                <w:b/>
                <w:sz w:val="20"/>
                <w:szCs w:val="20"/>
              </w:rPr>
            </w:pPr>
            <w:r>
              <w:rPr>
                <w:rFonts w:ascii="Times New Roman" w:hAnsi="Times New Roman"/>
                <w:b/>
                <w:sz w:val="20"/>
                <w:szCs w:val="20"/>
              </w:rPr>
            </w:r>
          </w:p>
        </w:tc>
      </w:tr>
      <w:tr>
        <w:trPr>
          <w:trHeight w:val="300" w:hRule="exact"/>
        </w:trPr>
        <w:tc>
          <w:tcPr>
            <w:tcW w:w="4716" w:type="dxa"/>
            <w:gridSpan w:val="5"/>
            <w:tcBorders/>
            <w:shd w:color="FFFFFF" w:fill="auto" w:val="clear"/>
            <w:vAlign w:val="bottom"/>
          </w:tcPr>
          <w:p>
            <w:pPr>
              <w:pStyle w:val="Normal"/>
              <w:bidi w:val="0"/>
              <w:spacing w:lineRule="auto" w:line="240" w:before="0" w:after="0"/>
              <w:jc w:val="both"/>
              <w:rPr>
                <w:rFonts w:ascii="Times New Roman" w:hAnsi="Times New Roman"/>
                <w:b/>
                <w:b/>
                <w:sz w:val="20"/>
                <w:szCs w:val="20"/>
              </w:rPr>
            </w:pPr>
            <w:r>
              <w:rPr>
                <w:rFonts w:ascii="Times New Roman" w:hAnsi="Times New Roman"/>
                <w:b/>
                <w:sz w:val="20"/>
                <w:szCs w:val="20"/>
              </w:rPr>
              <w:t>Финансовый управляющий</w:t>
            </w:r>
          </w:p>
        </w:tc>
        <w:tc>
          <w:tcPr>
            <w:tcW w:w="948" w:type="dxa"/>
            <w:tcBorders/>
            <w:shd w:color="FFFFFF" w:fill="auto" w:val="clear"/>
            <w:vAlign w:val="bottom"/>
          </w:tcPr>
          <w:p>
            <w:pPr>
              <w:pStyle w:val="Normal"/>
              <w:bidi w:val="0"/>
              <w:spacing w:lineRule="auto" w:line="240" w:before="0" w:after="0"/>
              <w:jc w:val="both"/>
              <w:rPr>
                <w:rFonts w:ascii="Times New Roman" w:hAnsi="Times New Roman"/>
                <w:sz w:val="22"/>
                <w:szCs w:val="22"/>
              </w:rPr>
            </w:pPr>
            <w:r>
              <w:rPr>
                <w:rFonts w:ascii="Times New Roman" w:hAnsi="Times New Roman"/>
                <w:sz w:val="22"/>
                <w:szCs w:val="22"/>
              </w:rPr>
            </w:r>
          </w:p>
        </w:tc>
        <w:tc>
          <w:tcPr>
            <w:tcW w:w="936" w:type="dxa"/>
            <w:tcBorders/>
            <w:shd w:color="FFFFFF" w:fill="auto" w:val="clear"/>
            <w:vAlign w:val="bottom"/>
          </w:tcPr>
          <w:p>
            <w:pPr>
              <w:pStyle w:val="Normal"/>
              <w:bidi w:val="0"/>
              <w:spacing w:lineRule="auto" w:line="240" w:before="0" w:after="0"/>
              <w:jc w:val="both"/>
              <w:rPr>
                <w:rFonts w:ascii="Times New Roman" w:hAnsi="Times New Roman"/>
                <w:sz w:val="22"/>
                <w:szCs w:val="22"/>
              </w:rPr>
            </w:pPr>
            <w:r>
              <w:rPr>
                <w:rFonts w:ascii="Times New Roman" w:hAnsi="Times New Roman"/>
                <w:sz w:val="22"/>
                <w:szCs w:val="22"/>
              </w:rPr>
            </w:r>
          </w:p>
        </w:tc>
        <w:tc>
          <w:tcPr>
            <w:tcW w:w="948" w:type="dxa"/>
            <w:tcBorders/>
            <w:shd w:color="FFFFFF" w:fill="auto" w:val="clear"/>
            <w:vAlign w:val="bottom"/>
          </w:tcPr>
          <w:p>
            <w:pPr>
              <w:pStyle w:val="Normal"/>
              <w:bidi w:val="0"/>
              <w:spacing w:lineRule="auto" w:line="240" w:before="0" w:after="0"/>
              <w:jc w:val="both"/>
              <w:rPr>
                <w:rFonts w:ascii="Times New Roman" w:hAnsi="Times New Roman"/>
                <w:sz w:val="22"/>
                <w:szCs w:val="22"/>
              </w:rPr>
            </w:pPr>
            <w:r>
              <w:rPr>
                <w:rFonts w:ascii="Times New Roman" w:hAnsi="Times New Roman"/>
                <w:sz w:val="22"/>
                <w:szCs w:val="22"/>
              </w:rPr>
            </w:r>
          </w:p>
        </w:tc>
        <w:tc>
          <w:tcPr>
            <w:tcW w:w="948" w:type="dxa"/>
            <w:tcBorders/>
            <w:shd w:color="FFFFFF" w:fill="auto" w:val="clear"/>
            <w:vAlign w:val="bottom"/>
          </w:tcPr>
          <w:p>
            <w:pPr>
              <w:pStyle w:val="Normal"/>
              <w:bidi w:val="0"/>
              <w:spacing w:lineRule="auto" w:line="240" w:before="0" w:after="0"/>
              <w:jc w:val="both"/>
              <w:rPr>
                <w:rFonts w:ascii="Times New Roman" w:hAnsi="Times New Roman"/>
                <w:sz w:val="22"/>
                <w:szCs w:val="22"/>
              </w:rPr>
            </w:pPr>
            <w:r>
              <w:rPr>
                <w:rFonts w:ascii="Times New Roman" w:hAnsi="Times New Roman"/>
                <w:sz w:val="22"/>
                <w:szCs w:val="22"/>
              </w:rPr>
            </w:r>
          </w:p>
        </w:tc>
        <w:tc>
          <w:tcPr>
            <w:tcW w:w="948" w:type="dxa"/>
            <w:tcBorders/>
            <w:shd w:color="FFFFFF" w:fill="auto" w:val="clear"/>
            <w:vAlign w:val="bottom"/>
          </w:tcPr>
          <w:p>
            <w:pPr>
              <w:pStyle w:val="Normal"/>
              <w:bidi w:val="0"/>
              <w:spacing w:lineRule="auto" w:line="240" w:before="0" w:after="0"/>
              <w:jc w:val="both"/>
              <w:rPr>
                <w:rFonts w:ascii="Times New Roman" w:hAnsi="Times New Roman"/>
                <w:sz w:val="22"/>
                <w:szCs w:val="22"/>
              </w:rPr>
            </w:pPr>
            <w:r>
              <w:rPr>
                <w:rFonts w:ascii="Times New Roman" w:hAnsi="Times New Roman"/>
                <w:sz w:val="22"/>
                <w:szCs w:val="22"/>
              </w:rPr>
            </w:r>
          </w:p>
        </w:tc>
        <w:tc>
          <w:tcPr>
            <w:tcW w:w="942" w:type="dxa"/>
            <w:tcBorders/>
            <w:shd w:color="FFFFFF" w:fill="auto" w:val="clear"/>
            <w:vAlign w:val="bottom"/>
          </w:tcPr>
          <w:p>
            <w:pPr>
              <w:pStyle w:val="Normal"/>
              <w:bidi w:val="0"/>
              <w:spacing w:lineRule="auto" w:line="240" w:before="0" w:after="0"/>
              <w:jc w:val="both"/>
              <w:rPr>
                <w:rFonts w:ascii="Times New Roman" w:hAnsi="Times New Roman"/>
                <w:sz w:val="22"/>
                <w:szCs w:val="22"/>
              </w:rPr>
            </w:pPr>
            <w:r>
              <w:rPr>
                <w:rFonts w:ascii="Times New Roman" w:hAnsi="Times New Roman"/>
                <w:sz w:val="22"/>
                <w:szCs w:val="22"/>
              </w:rPr>
            </w:r>
          </w:p>
        </w:tc>
      </w:tr>
      <w:tr>
        <w:trPr>
          <w:trHeight w:val="300" w:hRule="exact"/>
        </w:trPr>
        <w:tc>
          <w:tcPr>
            <w:tcW w:w="4716" w:type="dxa"/>
            <w:gridSpan w:val="5"/>
            <w:tcBorders/>
            <w:shd w:color="FFFFFF" w:fill="auto" w:val="clear"/>
            <w:vAlign w:val="bottom"/>
          </w:tcPr>
          <w:p>
            <w:pPr>
              <w:pStyle w:val="Normal"/>
              <w:bidi w:val="0"/>
              <w:spacing w:lineRule="auto" w:line="240" w:before="0" w:after="0"/>
              <w:jc w:val="both"/>
              <w:rPr>
                <w:rFonts w:ascii="Times New Roman" w:hAnsi="Times New Roman"/>
                <w:b/>
                <w:b/>
                <w:sz w:val="20"/>
                <w:szCs w:val="20"/>
              </w:rPr>
            </w:pPr>
            <w:r>
              <w:rPr>
                <w:rFonts w:ascii="Times New Roman" w:hAnsi="Times New Roman"/>
                <w:b/>
                <w:sz w:val="20"/>
                <w:szCs w:val="20"/>
              </w:rPr>
              <w:t>Хафизовой Гульсарии Галимардановны</w:t>
            </w:r>
          </w:p>
        </w:tc>
        <w:tc>
          <w:tcPr>
            <w:tcW w:w="948" w:type="dxa"/>
            <w:tcBorders/>
            <w:shd w:color="FFFFFF" w:fill="auto" w:val="clear"/>
            <w:vAlign w:val="bottom"/>
          </w:tcPr>
          <w:p>
            <w:pPr>
              <w:pStyle w:val="Normal"/>
              <w:bidi w:val="0"/>
              <w:spacing w:lineRule="auto" w:line="240" w:before="0" w:after="0"/>
              <w:jc w:val="both"/>
              <w:rPr>
                <w:rFonts w:ascii="Times New Roman" w:hAnsi="Times New Roman"/>
                <w:sz w:val="22"/>
                <w:szCs w:val="22"/>
              </w:rPr>
            </w:pPr>
            <w:r>
              <w:rPr>
                <w:rFonts w:ascii="Times New Roman" w:hAnsi="Times New Roman"/>
                <w:sz w:val="22"/>
                <w:szCs w:val="22"/>
              </w:rPr>
            </w:r>
          </w:p>
        </w:tc>
        <w:tc>
          <w:tcPr>
            <w:tcW w:w="936" w:type="dxa"/>
            <w:tcBorders/>
            <w:shd w:color="FFFFFF" w:fill="auto" w:val="clear"/>
            <w:vAlign w:val="bottom"/>
          </w:tcPr>
          <w:p>
            <w:pPr>
              <w:pStyle w:val="Normal"/>
              <w:bidi w:val="0"/>
              <w:spacing w:lineRule="auto" w:line="240" w:before="0" w:after="0"/>
              <w:jc w:val="both"/>
              <w:rPr>
                <w:rFonts w:ascii="Times New Roman" w:hAnsi="Times New Roman"/>
                <w:sz w:val="22"/>
                <w:szCs w:val="22"/>
              </w:rPr>
            </w:pPr>
            <w:r>
              <w:rPr>
                <w:rFonts w:ascii="Times New Roman" w:hAnsi="Times New Roman"/>
                <w:sz w:val="22"/>
                <w:szCs w:val="22"/>
              </w:rPr>
            </w:r>
          </w:p>
        </w:tc>
        <w:tc>
          <w:tcPr>
            <w:tcW w:w="948" w:type="dxa"/>
            <w:tcBorders/>
            <w:shd w:color="FFFFFF" w:fill="auto" w:val="clear"/>
            <w:vAlign w:val="bottom"/>
          </w:tcPr>
          <w:p>
            <w:pPr>
              <w:pStyle w:val="Normal"/>
              <w:bidi w:val="0"/>
              <w:spacing w:lineRule="auto" w:line="240" w:before="0" w:after="0"/>
              <w:jc w:val="both"/>
              <w:rPr>
                <w:rFonts w:ascii="Times New Roman" w:hAnsi="Times New Roman"/>
                <w:sz w:val="22"/>
                <w:szCs w:val="22"/>
              </w:rPr>
            </w:pPr>
            <w:r>
              <w:rPr>
                <w:rFonts w:ascii="Times New Roman" w:hAnsi="Times New Roman"/>
                <w:sz w:val="22"/>
                <w:szCs w:val="22"/>
              </w:rPr>
            </w:r>
          </w:p>
        </w:tc>
        <w:tc>
          <w:tcPr>
            <w:tcW w:w="948" w:type="dxa"/>
            <w:tcBorders/>
            <w:shd w:color="FFFFFF" w:fill="auto" w:val="clear"/>
            <w:vAlign w:val="bottom"/>
          </w:tcPr>
          <w:p>
            <w:pPr>
              <w:pStyle w:val="Normal"/>
              <w:bidi w:val="0"/>
              <w:spacing w:lineRule="auto" w:line="240" w:before="0" w:after="0"/>
              <w:jc w:val="both"/>
              <w:rPr>
                <w:rFonts w:ascii="Times New Roman" w:hAnsi="Times New Roman"/>
                <w:sz w:val="22"/>
                <w:szCs w:val="22"/>
              </w:rPr>
            </w:pPr>
            <w:r>
              <w:rPr>
                <w:rFonts w:ascii="Times New Roman" w:hAnsi="Times New Roman"/>
                <w:sz w:val="22"/>
                <w:szCs w:val="22"/>
              </w:rPr>
            </w:r>
          </w:p>
        </w:tc>
        <w:tc>
          <w:tcPr>
            <w:tcW w:w="948" w:type="dxa"/>
            <w:tcBorders/>
            <w:shd w:color="FFFFFF" w:fill="auto" w:val="clear"/>
            <w:vAlign w:val="bottom"/>
          </w:tcPr>
          <w:p>
            <w:pPr>
              <w:pStyle w:val="Normal"/>
              <w:bidi w:val="0"/>
              <w:spacing w:lineRule="auto" w:line="240" w:before="0" w:after="0"/>
              <w:jc w:val="both"/>
              <w:rPr>
                <w:rFonts w:ascii="Times New Roman" w:hAnsi="Times New Roman"/>
                <w:sz w:val="22"/>
                <w:szCs w:val="22"/>
              </w:rPr>
            </w:pPr>
            <w:r>
              <w:rPr>
                <w:rFonts w:ascii="Times New Roman" w:hAnsi="Times New Roman"/>
                <w:sz w:val="22"/>
                <w:szCs w:val="22"/>
              </w:rPr>
            </w:r>
          </w:p>
        </w:tc>
        <w:tc>
          <w:tcPr>
            <w:tcW w:w="942" w:type="dxa"/>
            <w:tcBorders/>
            <w:shd w:color="FFFFFF" w:fill="auto" w:val="clear"/>
            <w:vAlign w:val="bottom"/>
          </w:tcPr>
          <w:p>
            <w:pPr>
              <w:pStyle w:val="Normal"/>
              <w:bidi w:val="0"/>
              <w:spacing w:lineRule="auto" w:line="240" w:before="0" w:after="0"/>
              <w:jc w:val="both"/>
              <w:rPr>
                <w:rFonts w:ascii="Times New Roman" w:hAnsi="Times New Roman"/>
                <w:sz w:val="22"/>
                <w:szCs w:val="22"/>
              </w:rPr>
            </w:pPr>
            <w:r>
              <w:rPr>
                <w:rFonts w:ascii="Times New Roman" w:hAnsi="Times New Roman"/>
                <w:sz w:val="22"/>
                <w:szCs w:val="22"/>
              </w:rPr>
            </w:r>
          </w:p>
        </w:tc>
      </w:tr>
      <w:tr>
        <w:trPr>
          <w:trHeight w:val="300" w:hRule="exact"/>
        </w:trPr>
        <w:tc>
          <w:tcPr>
            <w:tcW w:w="936" w:type="dxa"/>
            <w:tcBorders/>
            <w:shd w:color="FFFFFF" w:fill="auto" w:val="clear"/>
            <w:vAlign w:val="bottom"/>
          </w:tcPr>
          <w:p>
            <w:pPr>
              <w:pStyle w:val="Normal"/>
              <w:bidi w:val="0"/>
              <w:spacing w:lineRule="auto" w:line="240" w:before="0" w:after="0"/>
              <w:jc w:val="both"/>
              <w:rPr>
                <w:rFonts w:ascii="Times New Roman" w:hAnsi="Times New Roman"/>
                <w:b/>
                <w:b/>
                <w:sz w:val="20"/>
                <w:szCs w:val="20"/>
              </w:rPr>
            </w:pPr>
            <w:r>
              <w:rPr>
                <w:rFonts w:ascii="Times New Roman" w:hAnsi="Times New Roman"/>
                <w:b/>
                <w:sz w:val="20"/>
                <w:szCs w:val="20"/>
              </w:rPr>
            </w:r>
          </w:p>
        </w:tc>
        <w:tc>
          <w:tcPr>
            <w:tcW w:w="936" w:type="dxa"/>
            <w:tcBorders/>
            <w:shd w:color="FFFFFF" w:fill="auto" w:val="clear"/>
            <w:vAlign w:val="bottom"/>
          </w:tcPr>
          <w:p>
            <w:pPr>
              <w:pStyle w:val="Normal"/>
              <w:bidi w:val="0"/>
              <w:spacing w:lineRule="auto" w:line="240" w:before="0" w:after="0"/>
              <w:jc w:val="both"/>
              <w:rPr>
                <w:rFonts w:ascii="Times New Roman" w:hAnsi="Times New Roman"/>
                <w:sz w:val="22"/>
                <w:szCs w:val="22"/>
              </w:rPr>
            </w:pPr>
            <w:r>
              <w:rPr>
                <w:rFonts w:ascii="Times New Roman" w:hAnsi="Times New Roman"/>
                <w:sz w:val="22"/>
                <w:szCs w:val="22"/>
              </w:rPr>
            </w:r>
          </w:p>
        </w:tc>
        <w:tc>
          <w:tcPr>
            <w:tcW w:w="948" w:type="dxa"/>
            <w:tcBorders/>
            <w:shd w:color="FFFFFF" w:fill="auto" w:val="clear"/>
            <w:vAlign w:val="bottom"/>
          </w:tcPr>
          <w:p>
            <w:pPr>
              <w:pStyle w:val="Normal"/>
              <w:bidi w:val="0"/>
              <w:spacing w:lineRule="auto" w:line="240" w:before="0" w:after="0"/>
              <w:jc w:val="both"/>
              <w:rPr>
                <w:rFonts w:ascii="Times New Roman" w:hAnsi="Times New Roman"/>
                <w:sz w:val="22"/>
                <w:szCs w:val="22"/>
              </w:rPr>
            </w:pPr>
            <w:r>
              <w:rPr>
                <w:rFonts w:ascii="Times New Roman" w:hAnsi="Times New Roman"/>
                <w:sz w:val="22"/>
                <w:szCs w:val="22"/>
              </w:rPr>
            </w:r>
          </w:p>
        </w:tc>
        <w:tc>
          <w:tcPr>
            <w:tcW w:w="948" w:type="dxa"/>
            <w:tcBorders/>
            <w:shd w:color="FFFFFF" w:fill="auto" w:val="clear"/>
            <w:vAlign w:val="bottom"/>
          </w:tcPr>
          <w:p>
            <w:pPr>
              <w:pStyle w:val="Normal"/>
              <w:bidi w:val="0"/>
              <w:spacing w:lineRule="auto" w:line="240" w:before="0" w:after="0"/>
              <w:jc w:val="both"/>
              <w:rPr>
                <w:rFonts w:ascii="Times New Roman" w:hAnsi="Times New Roman"/>
                <w:sz w:val="22"/>
                <w:szCs w:val="22"/>
              </w:rPr>
            </w:pPr>
            <w:r>
              <w:rPr>
                <w:rFonts w:ascii="Times New Roman" w:hAnsi="Times New Roman"/>
                <w:sz w:val="22"/>
                <w:szCs w:val="22"/>
              </w:rPr>
            </w:r>
          </w:p>
        </w:tc>
        <w:tc>
          <w:tcPr>
            <w:tcW w:w="948" w:type="dxa"/>
            <w:tcBorders/>
            <w:shd w:color="FFFFFF" w:fill="auto" w:val="clear"/>
            <w:vAlign w:val="bottom"/>
          </w:tcPr>
          <w:p>
            <w:pPr>
              <w:pStyle w:val="Normal"/>
              <w:bidi w:val="0"/>
              <w:spacing w:lineRule="auto" w:line="240" w:before="0" w:after="0"/>
              <w:jc w:val="both"/>
              <w:rPr>
                <w:rFonts w:ascii="Times New Roman" w:hAnsi="Times New Roman"/>
                <w:sz w:val="22"/>
                <w:szCs w:val="22"/>
              </w:rPr>
            </w:pPr>
            <w:r>
              <w:rPr>
                <w:rFonts w:ascii="Times New Roman" w:hAnsi="Times New Roman"/>
                <w:sz w:val="22"/>
                <w:szCs w:val="22"/>
              </w:rPr>
            </w:r>
          </w:p>
        </w:tc>
        <w:tc>
          <w:tcPr>
            <w:tcW w:w="948" w:type="dxa"/>
            <w:tcBorders/>
            <w:shd w:color="FFFFFF" w:fill="auto" w:val="clear"/>
            <w:vAlign w:val="bottom"/>
          </w:tcPr>
          <w:p>
            <w:pPr>
              <w:pStyle w:val="Normal"/>
              <w:bidi w:val="0"/>
              <w:spacing w:lineRule="auto" w:line="240" w:before="0" w:after="0"/>
              <w:jc w:val="both"/>
              <w:rPr>
                <w:rFonts w:ascii="Times New Roman" w:hAnsi="Times New Roman"/>
                <w:sz w:val="22"/>
                <w:szCs w:val="22"/>
              </w:rPr>
            </w:pPr>
            <w:r>
              <w:rPr>
                <w:rFonts w:ascii="Times New Roman" w:hAnsi="Times New Roman"/>
                <w:sz w:val="22"/>
                <w:szCs w:val="22"/>
              </w:rPr>
            </w:r>
          </w:p>
        </w:tc>
        <w:tc>
          <w:tcPr>
            <w:tcW w:w="936" w:type="dxa"/>
            <w:tcBorders/>
            <w:shd w:color="FFFFFF" w:fill="auto" w:val="clear"/>
            <w:vAlign w:val="bottom"/>
          </w:tcPr>
          <w:p>
            <w:pPr>
              <w:pStyle w:val="Normal"/>
              <w:bidi w:val="0"/>
              <w:spacing w:lineRule="auto" w:line="240" w:before="0" w:after="0"/>
              <w:jc w:val="both"/>
              <w:rPr>
                <w:rFonts w:ascii="Times New Roman" w:hAnsi="Times New Roman"/>
                <w:sz w:val="22"/>
                <w:szCs w:val="22"/>
              </w:rPr>
            </w:pPr>
            <w:r>
              <w:rPr>
                <w:rFonts w:ascii="Times New Roman" w:hAnsi="Times New Roman"/>
                <w:sz w:val="22"/>
                <w:szCs w:val="22"/>
              </w:rPr>
            </w:r>
          </w:p>
        </w:tc>
        <w:tc>
          <w:tcPr>
            <w:tcW w:w="948" w:type="dxa"/>
            <w:tcBorders/>
            <w:shd w:color="FFFFFF" w:fill="auto" w:val="clear"/>
            <w:vAlign w:val="bottom"/>
          </w:tcPr>
          <w:p>
            <w:pPr>
              <w:pStyle w:val="Normal"/>
              <w:bidi w:val="0"/>
              <w:spacing w:lineRule="auto" w:line="240" w:before="0" w:after="0"/>
              <w:jc w:val="both"/>
              <w:rPr>
                <w:rFonts w:ascii="Times New Roman" w:hAnsi="Times New Roman"/>
                <w:sz w:val="22"/>
                <w:szCs w:val="22"/>
              </w:rPr>
            </w:pPr>
            <w:r>
              <w:rPr>
                <w:rFonts w:ascii="Times New Roman" w:hAnsi="Times New Roman"/>
                <w:sz w:val="22"/>
                <w:szCs w:val="22"/>
              </w:rPr>
            </w:r>
          </w:p>
        </w:tc>
        <w:tc>
          <w:tcPr>
            <w:tcW w:w="948" w:type="dxa"/>
            <w:tcBorders/>
            <w:shd w:color="FFFFFF" w:fill="auto" w:val="clear"/>
            <w:vAlign w:val="bottom"/>
          </w:tcPr>
          <w:p>
            <w:pPr>
              <w:pStyle w:val="Normal"/>
              <w:bidi w:val="0"/>
              <w:spacing w:lineRule="auto" w:line="240" w:before="0" w:after="0"/>
              <w:jc w:val="both"/>
              <w:rPr>
                <w:rFonts w:ascii="Times New Roman" w:hAnsi="Times New Roman"/>
                <w:sz w:val="22"/>
                <w:szCs w:val="22"/>
              </w:rPr>
            </w:pPr>
            <w:r>
              <w:rPr>
                <w:rFonts w:ascii="Times New Roman" w:hAnsi="Times New Roman"/>
                <w:sz w:val="22"/>
                <w:szCs w:val="22"/>
              </w:rPr>
            </w:r>
          </w:p>
        </w:tc>
        <w:tc>
          <w:tcPr>
            <w:tcW w:w="948" w:type="dxa"/>
            <w:tcBorders/>
            <w:shd w:color="FFFFFF" w:fill="auto" w:val="clear"/>
            <w:vAlign w:val="bottom"/>
          </w:tcPr>
          <w:p>
            <w:pPr>
              <w:pStyle w:val="Normal"/>
              <w:bidi w:val="0"/>
              <w:spacing w:lineRule="auto" w:line="240" w:before="0" w:after="0"/>
              <w:jc w:val="both"/>
              <w:rPr>
                <w:rFonts w:ascii="Times New Roman" w:hAnsi="Times New Roman"/>
                <w:sz w:val="22"/>
                <w:szCs w:val="22"/>
              </w:rPr>
            </w:pPr>
            <w:r>
              <w:rPr>
                <w:rFonts w:ascii="Times New Roman" w:hAnsi="Times New Roman"/>
                <w:sz w:val="22"/>
                <w:szCs w:val="22"/>
              </w:rPr>
            </w:r>
          </w:p>
        </w:tc>
        <w:tc>
          <w:tcPr>
            <w:tcW w:w="942" w:type="dxa"/>
            <w:tcBorders/>
            <w:shd w:color="FFFFFF" w:fill="auto" w:val="clear"/>
            <w:vAlign w:val="bottom"/>
          </w:tcPr>
          <w:p>
            <w:pPr>
              <w:pStyle w:val="Normal"/>
              <w:bidi w:val="0"/>
              <w:spacing w:lineRule="auto" w:line="240" w:before="0" w:after="0"/>
              <w:jc w:val="both"/>
              <w:rPr>
                <w:rFonts w:ascii="Times New Roman" w:hAnsi="Times New Roman"/>
                <w:sz w:val="22"/>
                <w:szCs w:val="22"/>
              </w:rPr>
            </w:pPr>
            <w:r>
              <w:rPr>
                <w:rFonts w:ascii="Times New Roman" w:hAnsi="Times New Roman"/>
                <w:sz w:val="22"/>
                <w:szCs w:val="22"/>
              </w:rPr>
            </w:r>
          </w:p>
        </w:tc>
      </w:tr>
      <w:tr>
        <w:trPr>
          <w:trHeight w:val="1035" w:hRule="exact"/>
        </w:trPr>
        <w:tc>
          <w:tcPr>
            <w:tcW w:w="2820" w:type="dxa"/>
            <w:gridSpan w:val="3"/>
            <w:tcBorders/>
            <w:shd w:color="FFFFFF" w:fill="auto" w:val="clear"/>
          </w:tcPr>
          <w:p>
            <w:pPr>
              <w:pStyle w:val="Normal"/>
              <w:bidi w:val="0"/>
              <w:spacing w:lineRule="auto" w:line="240" w:before="0" w:after="0"/>
              <w:jc w:val="both"/>
              <w:rPr>
                <w:rFonts w:ascii="Times New Roman" w:hAnsi="Times New Roman"/>
                <w:b/>
                <w:b/>
                <w:sz w:val="20"/>
                <w:szCs w:val="20"/>
              </w:rPr>
            </w:pPr>
            <w:r>
              <w:rPr>
                <w:rFonts w:ascii="Times New Roman" w:hAnsi="Times New Roman"/>
                <w:b/>
                <w:sz w:val="20"/>
                <w:szCs w:val="20"/>
              </w:rPr>
              <w:t>Шуховцев Алексей Алексеевич</w:t>
            </w:r>
          </w:p>
        </w:tc>
        <w:tc>
          <w:tcPr>
            <w:tcW w:w="1896" w:type="dxa"/>
            <w:gridSpan w:val="2"/>
            <w:tcBorders/>
            <w:shd w:color="FFFFFF" w:fill="auto" w:val="clear"/>
          </w:tcPr>
          <w:p>
            <w:pPr>
              <w:pStyle w:val="Normal"/>
              <w:bidi w:val="0"/>
              <w:spacing w:lineRule="auto" w:line="240" w:before="0" w:after="0"/>
              <w:jc w:val="both"/>
              <w:rPr>
                <w:rFonts w:ascii="Times New Roman" w:hAnsi="Times New Roman"/>
                <w:sz w:val="22"/>
                <w:szCs w:val="22"/>
              </w:rPr>
            </w:pPr>
            <w:r>
              <w:rPr>
                <w:rFonts w:ascii="Times New Roman" w:hAnsi="Times New Roman"/>
                <w:sz w:val="22"/>
                <w:szCs w:val="22"/>
              </w:rPr>
              <w:t>______________</w:t>
            </w:r>
          </w:p>
        </w:tc>
        <w:tc>
          <w:tcPr>
            <w:tcW w:w="2832" w:type="dxa"/>
            <w:gridSpan w:val="3"/>
            <w:tcBorders/>
            <w:shd w:color="FFFFFF" w:fill="auto" w:val="clear"/>
          </w:tcPr>
          <w:p>
            <w:pPr>
              <w:pStyle w:val="Normal"/>
              <w:bidi w:val="0"/>
              <w:spacing w:lineRule="auto" w:line="240" w:before="0" w:after="0"/>
              <w:jc w:val="both"/>
              <w:rPr>
                <w:rFonts w:ascii="Times New Roman" w:hAnsi="Times New Roman"/>
                <w:b/>
                <w:b/>
                <w:sz w:val="20"/>
                <w:szCs w:val="20"/>
              </w:rPr>
            </w:pPr>
            <w:r>
              <w:rPr>
                <w:rFonts w:ascii="Times New Roman" w:hAnsi="Times New Roman"/>
                <w:b/>
                <w:sz w:val="20"/>
                <w:szCs w:val="20"/>
              </w:rPr>
            </w:r>
          </w:p>
        </w:tc>
        <w:tc>
          <w:tcPr>
            <w:tcW w:w="2838" w:type="dxa"/>
            <w:gridSpan w:val="3"/>
            <w:tcBorders/>
            <w:shd w:color="FFFFFF" w:fill="auto" w:val="clear"/>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t>____________________________</w:t>
            </w:r>
          </w:p>
        </w:tc>
      </w:tr>
    </w:tbl>
    <w:sectPr>
      <w:type w:val="nextPage"/>
      <w:pgSz w:w="11906" w:h="16838"/>
      <w:pgMar w:left="567" w:right="567" w:header="0" w:top="567" w:footer="0" w:bottom="567" w:gutter="0"/>
      <w:pgNumType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Liberation Sans">
    <w:altName w:val="Arial"/>
    <w:charset w:val="cc"/>
    <w:family w:val="roman"/>
    <w:pitch w:val="variable"/>
  </w:font>
  <w:font w:name="Times New Roman">
    <w:charset w:val="cc"/>
    <w:family w:val="roman"/>
    <w:pitch w:val="variable"/>
  </w:font>
</w:fonts>
</file>

<file path=word/settings.xml><?xml version="1.0" encoding="utf-8"?>
<w:settings xmlns:w="http://schemas.openxmlformats.org/wordprocessingml/2006/main">
  <w:zoom w:percent="100"/>
  <w:defaultTabStop w:val="720"/>
  <w:autoHyphenation w:val="true"/>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NSimSun" w:cs="Arial"/>
        <w:kern w:val="2"/>
        <w:szCs w:val="24"/>
        <w:lang w:val="ru-RU" w:eastAsia="zh-CN" w:bidi="hi-IN"/>
      </w:rPr>
    </w:rPrDefault>
    <w:pPrDefault>
      <w:pPr>
        <w:suppressAutoHyphens w:val="true"/>
      </w:pPr>
    </w:pPrDefault>
  </w:docDefaults>
  <w:style w:type="paragraph" w:styleId="Normal">
    <w:name w:val="Normal"/>
    <w:qFormat/>
    <w:pPr>
      <w:widowControl w:val="false"/>
      <w:suppressAutoHyphens w:val="true"/>
      <w:bidi w:val="0"/>
      <w:spacing w:before="0" w:after="0"/>
      <w:jc w:val="left"/>
    </w:pPr>
    <w:rPr>
      <w:rFonts w:ascii="Calibri" w:hAnsi="Calibri" w:eastAsia="NSimSun" w:cs="Arial"/>
      <w:color w:val="auto"/>
      <w:kern w:val="2"/>
      <w:sz w:val="22"/>
      <w:szCs w:val="24"/>
      <w:lang w:val="ru-RU" w:eastAsia="zh-CN" w:bidi="hi-IN"/>
    </w:rPr>
  </w:style>
  <w:style w:type="paragraph" w:styleId="Style14">
    <w:name w:val="Заголовок"/>
    <w:basedOn w:val="Normal"/>
    <w:next w:val="Style15"/>
    <w:qFormat/>
    <w:pPr>
      <w:keepNext w:val="true"/>
      <w:spacing w:before="240" w:after="120"/>
    </w:pPr>
    <w:rPr>
      <w:rFonts w:ascii="Liberation Sans" w:hAnsi="Liberation Sans" w:eastAsia="Microsoft YaHei" w:cs="Arial"/>
      <w:sz w:val="28"/>
      <w:szCs w:val="28"/>
    </w:rPr>
  </w:style>
  <w:style w:type="paragraph" w:styleId="Style15">
    <w:name w:val="Body Text"/>
    <w:basedOn w:val="Normal"/>
    <w:pPr>
      <w:spacing w:lineRule="auto" w:line="276" w:before="0" w:after="140"/>
    </w:pPr>
    <w:rPr/>
  </w:style>
  <w:style w:type="paragraph" w:styleId="Style16">
    <w:name w:val="List"/>
    <w:basedOn w:val="Style15"/>
    <w:pPr/>
    <w:rPr>
      <w:rFonts w:cs="Arial"/>
    </w:rPr>
  </w:style>
  <w:style w:type="paragraph" w:styleId="Style17">
    <w:name w:val="Caption"/>
    <w:basedOn w:val="Normal"/>
    <w:qFormat/>
    <w:pPr>
      <w:suppressLineNumbers/>
      <w:spacing w:before="120" w:after="120"/>
    </w:pPr>
    <w:rPr>
      <w:rFonts w:cs="Arial"/>
      <w:i/>
      <w:iCs/>
      <w:sz w:val="24"/>
      <w:szCs w:val="24"/>
    </w:rPr>
  </w:style>
  <w:style w:type="paragraph" w:styleId="Style18">
    <w:name w:val="Указатель"/>
    <w:basedOn w:val="Normal"/>
    <w:qFormat/>
    <w:pPr>
      <w:suppressLineNumbers/>
    </w:pPr>
    <w:rPr>
      <w:rFonts w:cs="Arial"/>
    </w:rPr>
  </w:style>
  <w:style w:type="table" w:styleId="TableStyle0">
    <w:name w:val="TableStyle0"/>
    <w:pPr>
      <w:spacing w:after="0" w:line="240" w:lineRule="auto"/>
    </w:pPr>
    <w:rPr>
      <w:sz w:val="16"/>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0</TotalTime>
  <Application>LibreOffice/6.4.2.2$Windows_X86_64 LibreOffice_project/4e471d8c02c9c90f512f7f9ead8875b57fcb1ec3</Application>
  <Pages>2</Pages>
  <Words>869</Words>
  <Characters>6253</Characters>
  <CharactersWithSpaces>7488</CharactersWithSpaces>
  <Paragraphs>52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2023-02-27T15:59:52Z</dcterms:modified>
  <cp:revision>2</cp:revision>
  <dc:subject/>
  <dc:title/>
</cp:coreProperties>
</file>