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Style w:val="TableStyle0"/>
        <w:tblW w:w="10395" w:type="dxa"/>
        <w:jc w:val="left"/>
        <w:tblInd w:w="0" w:type="dxa"/>
        <w:tblCellMar>
          <w:top w:w="0" w:type="dxa"/>
          <w:left w:w="0" w:type="dxa"/>
          <w:bottom w:w="0" w:type="dxa"/>
          <w:right w:w="0" w:type="dxa"/>
        </w:tblCellMar>
        <w:tblLook w:val="04a0"/>
      </w:tblPr>
      <w:tblGrid>
        <w:gridCol w:w="944"/>
        <w:gridCol w:w="945"/>
        <w:gridCol w:w="945"/>
        <w:gridCol w:w="945"/>
        <w:gridCol w:w="945"/>
        <w:gridCol w:w="946"/>
        <w:gridCol w:w="945"/>
        <w:gridCol w:w="945"/>
        <w:gridCol w:w="945"/>
        <w:gridCol w:w="945"/>
        <w:gridCol w:w="943"/>
      </w:tblGrid>
      <w:tr>
        <w:trPr>
          <w:trHeight w:val="315" w:hRule="exact"/>
        </w:trPr>
        <w:tc>
          <w:tcPr>
            <w:tcW w:w="10393" w:type="dxa"/>
            <w:gridSpan w:val="11"/>
            <w:tcBorders/>
            <w:shd w:color="FFFFFF" w:fill="auto" w:val="clear"/>
            <w:vAlign w:val="bottom"/>
          </w:tcPr>
          <w:p>
            <w:pPr>
              <w:pStyle w:val="Normal"/>
              <w:bidi w:val="0"/>
              <w:spacing w:lineRule="auto" w:line="240" w:before="0" w:after="0"/>
              <w:jc w:val="center"/>
              <w:rPr>
                <w:rFonts w:ascii="Times New Roman" w:hAnsi="Times New Roman"/>
                <w:b/>
                <w:b/>
                <w:sz w:val="20"/>
                <w:szCs w:val="20"/>
              </w:rPr>
            </w:pPr>
            <w:r>
              <w:rPr>
                <w:rFonts w:ascii="Times New Roman" w:hAnsi="Times New Roman"/>
                <w:b/>
                <w:sz w:val="20"/>
                <w:szCs w:val="20"/>
              </w:rPr>
              <w:t>Предварительный договор</w:t>
            </w:r>
          </w:p>
        </w:tc>
      </w:tr>
      <w:tr>
        <w:trPr>
          <w:trHeight w:val="270" w:hRule="exact"/>
        </w:trPr>
        <w:tc>
          <w:tcPr>
            <w:tcW w:w="10393" w:type="dxa"/>
            <w:gridSpan w:val="11"/>
            <w:tcBorders/>
            <w:shd w:color="FFFFFF" w:fill="auto" w:val="clear"/>
            <w:vAlign w:val="bottom"/>
          </w:tcPr>
          <w:p>
            <w:pPr>
              <w:pStyle w:val="Normal"/>
              <w:bidi w:val="0"/>
              <w:spacing w:lineRule="auto" w:line="240" w:before="0" w:after="0"/>
              <w:jc w:val="center"/>
              <w:rPr>
                <w:rFonts w:ascii="Times New Roman" w:hAnsi="Times New Roman"/>
                <w:b/>
                <w:b/>
                <w:sz w:val="20"/>
                <w:szCs w:val="20"/>
              </w:rPr>
            </w:pPr>
            <w:r>
              <w:rPr>
                <w:rFonts w:ascii="Times New Roman" w:hAnsi="Times New Roman"/>
                <w:b/>
                <w:sz w:val="20"/>
                <w:szCs w:val="20"/>
              </w:rPr>
              <w:t>купли-продажи</w:t>
            </w:r>
          </w:p>
        </w:tc>
      </w:tr>
      <w:tr>
        <w:trPr>
          <w:trHeight w:val="270" w:hRule="exact"/>
        </w:trPr>
        <w:tc>
          <w:tcPr>
            <w:tcW w:w="9450" w:type="dxa"/>
            <w:gridSpan w:val="10"/>
            <w:tcBorders/>
            <w:shd w:color="FFFFFF" w:fill="auto" w:val="clear"/>
          </w:tcPr>
          <w:p>
            <w:pPr>
              <w:pStyle w:val="Normal"/>
              <w:bidi w:val="0"/>
              <w:spacing w:lineRule="auto" w:line="240" w:before="0" w:after="0"/>
              <w:jc w:val="right"/>
              <w:rPr>
                <w:rFonts w:ascii="Times New Roman" w:hAnsi="Times New Roman"/>
                <w:sz w:val="20"/>
                <w:szCs w:val="20"/>
              </w:rPr>
            </w:pPr>
            <w:r>
              <w:rPr>
                <w:rFonts w:ascii="Times New Roman" w:hAnsi="Times New Roman"/>
                <w:sz w:val="20"/>
                <w:szCs w:val="20"/>
              </w:rPr>
              <w:t xml:space="preserve"> </w:t>
            </w:r>
          </w:p>
        </w:tc>
        <w:tc>
          <w:tcPr>
            <w:tcW w:w="943" w:type="dxa"/>
            <w:tcBorders/>
            <w:shd w:color="FFFFFF" w:fill="auto" w:val="clear"/>
            <w:vAlign w:val="bottom"/>
          </w:tcPr>
          <w:p>
            <w:pPr>
              <w:pStyle w:val="Normal"/>
              <w:bidi w:val="0"/>
              <w:spacing w:lineRule="auto" w:line="240" w:before="0" w:after="0"/>
              <w:jc w:val="center"/>
              <w:rPr>
                <w:rFonts w:ascii="Times New Roman" w:hAnsi="Times New Roman"/>
                <w:b/>
                <w:b/>
                <w:sz w:val="20"/>
                <w:szCs w:val="20"/>
              </w:rPr>
            </w:pPr>
            <w:r>
              <w:rPr>
                <w:rFonts w:ascii="Times New Roman" w:hAnsi="Times New Roman"/>
                <w:b/>
                <w:sz w:val="20"/>
                <w:szCs w:val="20"/>
              </w:rPr>
            </w:r>
          </w:p>
        </w:tc>
      </w:tr>
      <w:tr>
        <w:trPr>
          <w:trHeight w:val="1695" w:hRule="exact"/>
        </w:trPr>
        <w:tc>
          <w:tcPr>
            <w:tcW w:w="10393"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 xml:space="preserve">Гражданин РФ Сидоров Александр Михайлович (19.11.1960г.р., место рожд: гор.Еманжелинск Челябинской области, адрес рег: 423462, Татарстан Респ, Альметьевский р-н, Альметьевск г, Зай ул, дом № 32, СНИЛС05231727933, ИНН 164702931513, паспорт РФ серия 9205, номер 072576, выдан 18.01.2006, кем выдан ОТДЕЛОМ ВНУТРЕННИХ ДЕЛ ГОРОДА И ЗАИНСКОГО РАЙОНА РЕСПУБЛИКИ ТАТАРСТАН, код подразделения 162-024), в лице Гражданина РФ Финансового управляющего Стояна Романа Сергеевича (ИНН 745310520162, СНИЛС 13615578971, рег.номер 20005), действующего на основании решения Арбитражного суда Республики Татарстан от 01.08.2022г. по делу №А65-8635/2022, именуемый в дальнейшем «Продавец», с одной стороны, и </w:t>
            </w:r>
          </w:p>
        </w:tc>
      </w:tr>
      <w:tr>
        <w:trPr>
          <w:trHeight w:val="975" w:hRule="exact"/>
        </w:trPr>
        <w:tc>
          <w:tcPr>
            <w:tcW w:w="10393"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Гражданин РФ Самыкин Иван Александрович (адрес рег: г. Самара, пр-т Карла Маркса, д. 12, кв. 34, ИНН 631580777451, паспорт РФ серия 3619, номер 717604, выдан 05.09.2019, кем выдан ГУ МВД России по Самарской области, код подразделения 630-011)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3" w:type="dxa"/>
            <w:gridSpan w:val="11"/>
            <w:tcBorders/>
            <w:shd w:color="FFFFFF" w:fill="auto" w:val="clear"/>
            <w:vAlign w:val="bottom"/>
          </w:tcPr>
          <w:p>
            <w:pPr>
              <w:pStyle w:val="Normal"/>
              <w:bidi w:val="0"/>
              <w:spacing w:lineRule="auto" w:line="240" w:before="0" w:after="0"/>
              <w:jc w:val="center"/>
              <w:rPr>
                <w:rFonts w:ascii="Times New Roman" w:hAnsi="Times New Roman"/>
                <w:b/>
                <w:b/>
                <w:sz w:val="20"/>
                <w:szCs w:val="20"/>
              </w:rPr>
            </w:pPr>
            <w:r>
              <w:rPr>
                <w:rFonts w:ascii="Times New Roman" w:hAnsi="Times New Roman"/>
                <w:b/>
                <w:sz w:val="20"/>
                <w:szCs w:val="20"/>
              </w:rPr>
              <w:t>1.  Предмет договора</w:t>
            </w:r>
          </w:p>
        </w:tc>
      </w:tr>
      <w:tr>
        <w:trPr>
          <w:trHeight w:val="975" w:hRule="exact"/>
        </w:trPr>
        <w:tc>
          <w:tcPr>
            <w:tcW w:w="10393"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1.1. Продавец обязуется известить всех участников долевой собственности в письменной форме или в виде извещения на официальном сайте Федеральной службы государственной регистрации кадастра и картографии в сети интернет — https://rosreestr.gov.ru/site/ о намерении продать долю в объекте недвижимости (далее по тексту — объект недвижимости) с указанием цены, размера, местоположения объекта недвижимости.</w:t>
            </w:r>
          </w:p>
        </w:tc>
      </w:tr>
      <w:tr>
        <w:trPr>
          <w:trHeight w:val="1215" w:hRule="exact"/>
        </w:trPr>
        <w:tc>
          <w:tcPr>
            <w:tcW w:w="10393"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1.2. Продавец обязуется после получения отказа от преимущественного права покупки от всех участников долевой собственности или на момент возврат извещения отправителю (продавцу) или по истечении 30 дней после размещения извещения на официальном сайте Федеральной службы государственной регистрации кадастра и картографии в сети интернет — https://rosreestr.gov.ru/site/ передать в собственность Покупателю путем заключения договора купли-продажи («Основной договор») следующий Объект недвижимости:</w:t>
            </w:r>
          </w:p>
        </w:tc>
      </w:tr>
      <w:tr>
        <w:trPr>
          <w:trHeight w:val="735" w:hRule="exact"/>
        </w:trPr>
        <w:tc>
          <w:tcPr>
            <w:tcW w:w="10393"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ЛОТ №1 — Земельный участок, площадь: 18 446 681,03м², адрес (местонахождение): 423515, РОССИЯ, Татарстан Респ, Заинский р-н, , с Дурт-Мунча, , СПК "Игенче", , разрешенное использование: Земли сельскохозяйственного использования, кадастровый номер: 16:19:000000:314</w:t>
            </w:r>
          </w:p>
        </w:tc>
      </w:tr>
      <w:tr>
        <w:trPr>
          <w:trHeight w:val="495" w:hRule="exact"/>
        </w:trPr>
        <w:tc>
          <w:tcPr>
            <w:tcW w:w="10393"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1.3. Стороны обязуются заключить Основной договор купли-продажи объекта недвижимости в срок не позднее 22.05.2023.</w:t>
            </w:r>
          </w:p>
        </w:tc>
      </w:tr>
      <w:tr>
        <w:trPr>
          <w:trHeight w:val="300" w:hRule="exact"/>
        </w:trPr>
        <w:tc>
          <w:tcPr>
            <w:tcW w:w="10393" w:type="dxa"/>
            <w:gridSpan w:val="11"/>
            <w:tcBorders/>
            <w:shd w:color="FFFFFF" w:fill="auto" w:val="clear"/>
            <w:vAlign w:val="bottom"/>
          </w:tcPr>
          <w:p>
            <w:pPr>
              <w:pStyle w:val="Normal"/>
              <w:bidi w:val="0"/>
              <w:spacing w:lineRule="auto" w:line="240" w:before="0" w:after="0"/>
              <w:jc w:val="center"/>
              <w:rPr>
                <w:rFonts w:ascii="Times New Roman" w:hAnsi="Times New Roman"/>
                <w:b/>
                <w:b/>
                <w:sz w:val="20"/>
                <w:szCs w:val="20"/>
              </w:rPr>
            </w:pPr>
            <w:r>
              <w:rPr>
                <w:rFonts w:ascii="Times New Roman" w:hAnsi="Times New Roman"/>
                <w:b/>
                <w:sz w:val="20"/>
                <w:szCs w:val="20"/>
              </w:rPr>
              <w:t>2.  Условия основного договора</w:t>
            </w:r>
          </w:p>
        </w:tc>
      </w:tr>
      <w:tr>
        <w:trPr>
          <w:trHeight w:val="495" w:hRule="exact"/>
        </w:trPr>
        <w:tc>
          <w:tcPr>
            <w:tcW w:w="10393"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2.1. По Основному договору Продавец обязуется передать в собственность Покупателя Объект недвижимости, а Покупатель обязуется его принять и оплатить.</w:t>
            </w:r>
          </w:p>
        </w:tc>
      </w:tr>
      <w:tr>
        <w:trPr>
          <w:trHeight w:val="735" w:hRule="exact"/>
        </w:trPr>
        <w:tc>
          <w:tcPr>
            <w:tcW w:w="10393"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 xml:space="preserve">2.2. Стоимость продаваемого Объекта недвижимости составляет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w:t>
            </w:r>
          </w:p>
        </w:tc>
      </w:tr>
      <w:tr>
        <w:trPr>
          <w:trHeight w:val="300" w:hRule="exact"/>
        </w:trPr>
        <w:tc>
          <w:tcPr>
            <w:tcW w:w="10393"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2.3. Продавец обязуется:</w:t>
            </w:r>
          </w:p>
        </w:tc>
      </w:tr>
      <w:tr>
        <w:trPr>
          <w:trHeight w:val="300" w:hRule="exact"/>
        </w:trPr>
        <w:tc>
          <w:tcPr>
            <w:tcW w:w="10393"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2.3.1. Передать Покупателю имущество по акту приема-передачи.</w:t>
            </w:r>
          </w:p>
        </w:tc>
      </w:tr>
      <w:tr>
        <w:trPr>
          <w:trHeight w:val="735" w:hRule="exact"/>
        </w:trPr>
        <w:tc>
          <w:tcPr>
            <w:tcW w:w="10393"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2.3.2.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735" w:hRule="exact"/>
        </w:trPr>
        <w:tc>
          <w:tcPr>
            <w:tcW w:w="10393"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2.3.3. Расходы, связанные с государственной регистрацией имущества, уведомлением сособственников о преимуществом праве покупки и соблюдением правил оформления сделки по продаже доли, и иные расходы по сделке несет «Покупатель».</w:t>
            </w:r>
          </w:p>
        </w:tc>
      </w:tr>
      <w:tr>
        <w:trPr>
          <w:trHeight w:val="300" w:hRule="exact"/>
        </w:trPr>
        <w:tc>
          <w:tcPr>
            <w:tcW w:w="10393"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2.4. Покупатель обязан:</w:t>
            </w:r>
          </w:p>
        </w:tc>
      </w:tr>
      <w:tr>
        <w:trPr>
          <w:trHeight w:val="300" w:hRule="exact"/>
        </w:trPr>
        <w:tc>
          <w:tcPr>
            <w:tcW w:w="10393"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2.4.1. Оплатить полную стоимость имущества в соответствии с основным договором.</w:t>
            </w:r>
          </w:p>
        </w:tc>
      </w:tr>
      <w:tr>
        <w:trPr>
          <w:trHeight w:val="495" w:hRule="exact"/>
        </w:trPr>
        <w:tc>
          <w:tcPr>
            <w:tcW w:w="10393"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2.4.2.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3"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2.4.3. Уплатить государственную пошлину за государственную регистрацию перехода права собственности.</w:t>
            </w:r>
          </w:p>
        </w:tc>
      </w:tr>
      <w:tr>
        <w:trPr>
          <w:trHeight w:val="285" w:hRule="exact"/>
        </w:trPr>
        <w:tc>
          <w:tcPr>
            <w:tcW w:w="10393" w:type="dxa"/>
            <w:gridSpan w:val="11"/>
            <w:tcBorders/>
            <w:shd w:color="FFFFFF" w:fill="auto" w:val="clear"/>
            <w:vAlign w:val="bottom"/>
          </w:tcPr>
          <w:p>
            <w:pPr>
              <w:pStyle w:val="Normal"/>
              <w:bidi w:val="0"/>
              <w:spacing w:lineRule="auto" w:line="240" w:before="0" w:after="0"/>
              <w:jc w:val="left"/>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2.4.4. Осуществить государственную регистрацию перехода права собственности на имущество к Покупателю.</w:t>
            </w:r>
          </w:p>
        </w:tc>
      </w:tr>
      <w:tr>
        <w:trPr>
          <w:trHeight w:val="285" w:hRule="exact"/>
        </w:trPr>
        <w:tc>
          <w:tcPr>
            <w:tcW w:w="10393" w:type="dxa"/>
            <w:gridSpan w:val="11"/>
            <w:tcBorders/>
            <w:shd w:color="FFFFFF" w:fill="auto" w:val="clear"/>
            <w:vAlign w:val="bottom"/>
          </w:tcPr>
          <w:p>
            <w:pPr>
              <w:pStyle w:val="Normal"/>
              <w:bidi w:val="0"/>
              <w:spacing w:lineRule="auto" w:line="240" w:before="0" w:after="0"/>
              <w:jc w:val="center"/>
              <w:rPr>
                <w:rFonts w:ascii="Times New Roman" w:hAnsi="Times New Roman"/>
                <w:b/>
                <w:b/>
                <w:sz w:val="20"/>
                <w:szCs w:val="20"/>
              </w:rPr>
            </w:pPr>
            <w:r>
              <w:rPr>
                <w:rFonts w:ascii="Times New Roman" w:hAnsi="Times New Roman"/>
                <w:b/>
                <w:sz w:val="20"/>
                <w:szCs w:val="20"/>
              </w:rPr>
              <w:t>3. Ответственность Сторон</w:t>
            </w:r>
          </w:p>
        </w:tc>
      </w:tr>
      <w:tr>
        <w:trPr>
          <w:trHeight w:val="510" w:hRule="exact"/>
        </w:trPr>
        <w:tc>
          <w:tcPr>
            <w:tcW w:w="10393"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3.1. В случае, если одна из Сторон будет уклоняться от заключения Основного договора, то уклоняющаяся Сторона должна будет оплатить добросовестной Стороне штраф в размере суммы задатка.</w:t>
            </w:r>
          </w:p>
        </w:tc>
      </w:tr>
      <w:tr>
        <w:trPr>
          <w:trHeight w:val="525" w:hRule="exact"/>
        </w:trPr>
        <w:tc>
          <w:tcPr>
            <w:tcW w:w="10393"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3.2. В случае, если одна из Сторон будет уклоняться от заключения Основного договора, то уклоняющаяся Сторона должна будет возместить добросовестной Стороне убытки, причиненные таким уклонением.</w:t>
            </w:r>
          </w:p>
        </w:tc>
      </w:tr>
      <w:tr>
        <w:trPr>
          <w:trHeight w:val="570" w:hRule="exact"/>
        </w:trPr>
        <w:tc>
          <w:tcPr>
            <w:tcW w:w="10393"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3.3. В случае уклонения одной из Сторон от заключения Основного договора вторая Сторона вправе обратиться в суд с требованием о понуждении заключить Основной договор купли-продажи Предмета договора.</w:t>
            </w:r>
          </w:p>
        </w:tc>
      </w:tr>
      <w:tr>
        <w:trPr>
          <w:trHeight w:val="285" w:hRule="exact"/>
        </w:trPr>
        <w:tc>
          <w:tcPr>
            <w:tcW w:w="10393" w:type="dxa"/>
            <w:gridSpan w:val="11"/>
            <w:tcBorders/>
            <w:shd w:color="FFFFFF" w:fill="auto" w:val="clear"/>
            <w:vAlign w:val="bottom"/>
          </w:tcPr>
          <w:p>
            <w:pPr>
              <w:pStyle w:val="Normal"/>
              <w:bidi w:val="0"/>
              <w:spacing w:lineRule="auto" w:line="240" w:before="0" w:after="0"/>
              <w:jc w:val="center"/>
              <w:rPr>
                <w:rFonts w:ascii="Times New Roman" w:hAnsi="Times New Roman"/>
                <w:b/>
                <w:b/>
                <w:sz w:val="20"/>
                <w:szCs w:val="20"/>
              </w:rPr>
            </w:pPr>
            <w:r>
              <w:rPr>
                <w:rFonts w:ascii="Times New Roman" w:hAnsi="Times New Roman"/>
                <w:b/>
                <w:sz w:val="20"/>
                <w:szCs w:val="20"/>
              </w:rPr>
              <w:t>4. Разрешение споров</w:t>
            </w:r>
          </w:p>
        </w:tc>
      </w:tr>
      <w:tr>
        <w:trPr>
          <w:trHeight w:val="810" w:hRule="exact"/>
        </w:trPr>
        <w:tc>
          <w:tcPr>
            <w:tcW w:w="10393"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4.1. Все споры и разногласия, которые могут возникнуть между Сторонами по вопросам, не нашедшим своего разрешения в тексте настоящего Договора, будут разрешаться путем переговоров на основе действующего законодательства Российской Федерации.</w:t>
            </w:r>
          </w:p>
        </w:tc>
      </w:tr>
      <w:tr>
        <w:trPr>
          <w:trHeight w:val="540" w:hRule="exact"/>
        </w:trPr>
        <w:tc>
          <w:tcPr>
            <w:tcW w:w="10393"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4.2. При невозможности урегулирования спорных вопросов в процессе переговоров споры разрешаются в суде в порядке, установленном действующим законодательством Российской Федерации.</w:t>
            </w:r>
          </w:p>
        </w:tc>
      </w:tr>
      <w:tr>
        <w:trPr>
          <w:trHeight w:val="345" w:hRule="exact"/>
        </w:trPr>
        <w:tc>
          <w:tcPr>
            <w:tcW w:w="10393" w:type="dxa"/>
            <w:gridSpan w:val="11"/>
            <w:tcBorders/>
            <w:shd w:color="FFFFFF" w:fill="auto" w:val="clear"/>
            <w:vAlign w:val="bottom"/>
          </w:tcPr>
          <w:p>
            <w:pPr>
              <w:pStyle w:val="Normal"/>
              <w:bidi w:val="0"/>
              <w:spacing w:lineRule="auto" w:line="240" w:before="0" w:after="0"/>
              <w:jc w:val="center"/>
              <w:rPr>
                <w:rFonts w:ascii="Times New Roman" w:hAnsi="Times New Roman"/>
                <w:b/>
                <w:b/>
                <w:sz w:val="20"/>
                <w:szCs w:val="20"/>
              </w:rPr>
            </w:pPr>
            <w:r>
              <w:rPr>
                <w:rFonts w:ascii="Times New Roman" w:hAnsi="Times New Roman"/>
                <w:b/>
                <w:sz w:val="20"/>
                <w:szCs w:val="20"/>
              </w:rPr>
              <w:t>5. Заключительные положения</w:t>
            </w:r>
          </w:p>
        </w:tc>
      </w:tr>
      <w:tr>
        <w:trPr>
          <w:trHeight w:val="525" w:hRule="exact"/>
        </w:trPr>
        <w:tc>
          <w:tcPr>
            <w:tcW w:w="10393"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5.1. Настоящий договор является предварительным и содержит основные условия для заключения Основного договора купли-продажи, который стороны обязуются заключить в срок не позднее 22.05.2023.</w:t>
            </w:r>
          </w:p>
        </w:tc>
      </w:tr>
      <w:tr>
        <w:trPr>
          <w:trHeight w:val="1215" w:hRule="exact"/>
        </w:trPr>
        <w:tc>
          <w:tcPr>
            <w:tcW w:w="10393"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5.2.  В случае несоответствия действительности гарантий, указанных в п. 1.3. договора, и установления указанных обстоятельств после заключения настоящего или Основного договора, Покупатель имеет право в одностороннем внесудебном порядке расторгнуть настоящий договор, направив Продавцу соответствующее уведомление. Продавец обязуется в течение 5-х рабочих дней с момента получения уведомления о расторжении договора возвратить сумму полученного задатка.</w:t>
            </w:r>
          </w:p>
        </w:tc>
      </w:tr>
      <w:tr>
        <w:trPr>
          <w:trHeight w:val="720" w:hRule="exact"/>
        </w:trPr>
        <w:tc>
          <w:tcPr>
            <w:tcW w:w="10393"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5.3. Настоящий договор содержит весь объем соглашений между сторонами в отношении предмета настоящего договора, отменяет и делает недействительными все иные обязательства, которые могли быть приняты и сделаны сторонами в устной или письменной форме до заключения настоящего договора.</w:t>
            </w:r>
          </w:p>
        </w:tc>
      </w:tr>
      <w:tr>
        <w:trPr>
          <w:trHeight w:val="285" w:hRule="exact"/>
        </w:trPr>
        <w:tc>
          <w:tcPr>
            <w:tcW w:w="10393"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5.4. Настоящий договор составлен в двух одинаковых экземплярах, по одному для каждой Стороны.</w:t>
            </w:r>
          </w:p>
        </w:tc>
      </w:tr>
      <w:tr>
        <w:trPr>
          <w:trHeight w:val="555" w:hRule="exact"/>
        </w:trPr>
        <w:tc>
          <w:tcPr>
            <w:tcW w:w="10393"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5.5. Во всем ином, неоговоренном в настоящем договоре, Стороны руководствуются действующим законодательством РФ.</w:t>
            </w:r>
          </w:p>
        </w:tc>
      </w:tr>
      <w:tr>
        <w:trPr>
          <w:trHeight w:val="555" w:hRule="exact"/>
        </w:trPr>
        <w:tc>
          <w:tcPr>
            <w:tcW w:w="10393"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5.6. Настоящий договор вступает в силу с момента подписания и действует до полного выполнения Сторонами своих обязательств по настоящему договору.</w:t>
            </w:r>
          </w:p>
        </w:tc>
      </w:tr>
      <w:tr>
        <w:trPr>
          <w:trHeight w:val="285" w:hRule="exact"/>
        </w:trPr>
        <w:tc>
          <w:tcPr>
            <w:tcW w:w="10393"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5.7. Договор Сторонами прочитан, последствия заключаемой сделки сторонам известны.</w:t>
            </w:r>
          </w:p>
        </w:tc>
      </w:tr>
      <w:tr>
        <w:trPr>
          <w:trHeight w:val="285" w:hRule="exact"/>
        </w:trPr>
        <w:tc>
          <w:tcPr>
            <w:tcW w:w="10393" w:type="dxa"/>
            <w:gridSpan w:val="11"/>
            <w:tcBorders/>
            <w:shd w:color="FFFFFF" w:fill="auto" w:val="clear"/>
            <w:vAlign w:val="bottom"/>
          </w:tcPr>
          <w:p>
            <w:pPr>
              <w:pStyle w:val="Normal"/>
              <w:bidi w:val="0"/>
              <w:spacing w:lineRule="auto" w:line="240" w:before="0" w:after="0"/>
              <w:jc w:val="center"/>
              <w:rPr>
                <w:rFonts w:ascii="Times New Roman" w:hAnsi="Times New Roman"/>
                <w:b/>
                <w:b/>
                <w:sz w:val="20"/>
                <w:szCs w:val="20"/>
              </w:rPr>
            </w:pPr>
            <w:r>
              <w:rPr>
                <w:rFonts w:ascii="Times New Roman" w:hAnsi="Times New Roman"/>
                <w:b/>
                <w:sz w:val="20"/>
                <w:szCs w:val="20"/>
              </w:rPr>
              <w:t>6. Реквизиты и подписи Сторон</w:t>
            </w:r>
          </w:p>
        </w:tc>
      </w:tr>
      <w:tr>
        <w:trPr>
          <w:trHeight w:val="285" w:hRule="exact"/>
        </w:trPr>
        <w:tc>
          <w:tcPr>
            <w:tcW w:w="4724" w:type="dxa"/>
            <w:gridSpan w:val="5"/>
            <w:tcBorders/>
            <w:shd w:color="FFFFFF" w:fill="auto" w:val="clear"/>
            <w:vAlign w:val="bottom"/>
          </w:tcPr>
          <w:p>
            <w:pPr>
              <w:pStyle w:val="Normal"/>
              <w:bidi w:val="0"/>
              <w:spacing w:lineRule="auto" w:line="240" w:before="0" w:after="0"/>
              <w:jc w:val="center"/>
              <w:rPr>
                <w:rFonts w:ascii="Times New Roman" w:hAnsi="Times New Roman"/>
                <w:b/>
                <w:b/>
                <w:sz w:val="20"/>
                <w:szCs w:val="20"/>
              </w:rPr>
            </w:pPr>
            <w:r>
              <w:rPr>
                <w:rFonts w:ascii="Times New Roman" w:hAnsi="Times New Roman"/>
                <w:b/>
                <w:sz w:val="20"/>
                <w:szCs w:val="20"/>
              </w:rPr>
              <w:t>Продавец:</w:t>
            </w:r>
          </w:p>
        </w:tc>
        <w:tc>
          <w:tcPr>
            <w:tcW w:w="5669" w:type="dxa"/>
            <w:gridSpan w:val="6"/>
            <w:tcBorders/>
            <w:shd w:color="FFFFFF" w:fill="auto" w:val="clear"/>
            <w:vAlign w:val="bottom"/>
          </w:tcPr>
          <w:p>
            <w:pPr>
              <w:pStyle w:val="Normal"/>
              <w:bidi w:val="0"/>
              <w:spacing w:lineRule="auto" w:line="240" w:before="0" w:after="0"/>
              <w:jc w:val="center"/>
              <w:rPr>
                <w:rFonts w:ascii="Times New Roman" w:hAnsi="Times New Roman"/>
                <w:b/>
                <w:b/>
                <w:sz w:val="20"/>
                <w:szCs w:val="20"/>
              </w:rPr>
            </w:pPr>
            <w:r>
              <w:rPr>
                <w:rFonts w:ascii="Times New Roman" w:hAnsi="Times New Roman"/>
                <w:b/>
                <w:sz w:val="20"/>
                <w:szCs w:val="20"/>
              </w:rPr>
              <w:t>Покупатель:</w:t>
            </w:r>
          </w:p>
        </w:tc>
      </w:tr>
      <w:tr>
        <w:trPr>
          <w:trHeight w:val="285" w:hRule="exact"/>
        </w:trPr>
        <w:tc>
          <w:tcPr>
            <w:tcW w:w="4724" w:type="dxa"/>
            <w:gridSpan w:val="5"/>
            <w:tcBorders/>
            <w:shd w:color="FFFFFF" w:fill="auto" w:val="clear"/>
            <w:vAlign w:val="bottom"/>
          </w:tcPr>
          <w:p>
            <w:pPr>
              <w:pStyle w:val="Normal"/>
              <w:bidi w:val="0"/>
              <w:spacing w:lineRule="auto" w:line="240" w:before="0" w:after="0"/>
              <w:jc w:val="center"/>
              <w:rPr>
                <w:rFonts w:ascii="Times New Roman" w:hAnsi="Times New Roman"/>
                <w:b/>
                <w:b/>
                <w:sz w:val="20"/>
                <w:szCs w:val="20"/>
              </w:rPr>
            </w:pPr>
            <w:r>
              <w:rPr>
                <w:rFonts w:ascii="Times New Roman" w:hAnsi="Times New Roman"/>
                <w:b/>
                <w:sz w:val="20"/>
                <w:szCs w:val="20"/>
              </w:rPr>
              <w:t>Гражданин РФ</w:t>
            </w:r>
          </w:p>
        </w:tc>
        <w:tc>
          <w:tcPr>
            <w:tcW w:w="5669" w:type="dxa"/>
            <w:gridSpan w:val="6"/>
            <w:tcBorders/>
            <w:shd w:color="FFFFFF" w:fill="auto" w:val="clear"/>
            <w:vAlign w:val="bottom"/>
          </w:tcPr>
          <w:p>
            <w:pPr>
              <w:pStyle w:val="Normal"/>
              <w:bidi w:val="0"/>
              <w:spacing w:lineRule="auto" w:line="240" w:before="0" w:after="0"/>
              <w:jc w:val="center"/>
              <w:rPr>
                <w:rFonts w:ascii="Times New Roman" w:hAnsi="Times New Roman"/>
                <w:b/>
                <w:b/>
                <w:sz w:val="20"/>
                <w:szCs w:val="20"/>
              </w:rPr>
            </w:pPr>
            <w:r>
              <w:rPr>
                <w:rFonts w:ascii="Times New Roman" w:hAnsi="Times New Roman"/>
                <w:b/>
                <w:sz w:val="20"/>
                <w:szCs w:val="20"/>
              </w:rPr>
              <w:t>Гражданин РФ</w:t>
            </w:r>
          </w:p>
        </w:tc>
      </w:tr>
      <w:tr>
        <w:trPr>
          <w:trHeight w:val="2175" w:hRule="exact"/>
        </w:trPr>
        <w:tc>
          <w:tcPr>
            <w:tcW w:w="4724" w:type="dxa"/>
            <w:gridSpan w:val="5"/>
            <w:tcBorders/>
            <w:shd w:color="FFFFFF" w:fill="auto" w:val="clear"/>
            <w:vAlign w:val="bottom"/>
          </w:tcPr>
          <w:p>
            <w:pPr>
              <w:pStyle w:val="Normal"/>
              <w:bidi w:val="0"/>
              <w:spacing w:lineRule="auto" w:line="240" w:before="0" w:after="0"/>
              <w:jc w:val="both"/>
              <w:rPr>
                <w:rFonts w:ascii="Times New Roman" w:hAnsi="Times New Roman"/>
                <w:b/>
                <w:b/>
                <w:sz w:val="20"/>
                <w:szCs w:val="20"/>
              </w:rPr>
            </w:pPr>
            <w:r>
              <w:rPr>
                <w:rFonts w:ascii="Times New Roman" w:hAnsi="Times New Roman"/>
                <w:b/>
                <w:sz w:val="20"/>
                <w:szCs w:val="20"/>
              </w:rPr>
              <w:t>Сидоров Александр Михайлович (19.11.1960г.р., место рожд: гор.Еманжелинск Челябинской области, адрес рег: 423462, Татарстан Респ, Альметьевский р-н, Альметьевск г, Зай ул, дом № 32, СНИЛС05231727933, ИНН 164702931513, паспорт РФ серия 9205, номер 072576, выдан 18.01.2006, кем выдан ОТДЕЛОМ ВНУТРЕННИХ ДЕЛ ГОРОДА И ЗАИНСКОГО РАЙОНА РЕСПУБЛИКИ ТАТАРСТАН, код подразделения 162-024)</w:t>
            </w:r>
          </w:p>
        </w:tc>
        <w:tc>
          <w:tcPr>
            <w:tcW w:w="5669" w:type="dxa"/>
            <w:gridSpan w:val="6"/>
            <w:vMerge w:val="restart"/>
            <w:tcBorders/>
            <w:shd w:color="FFFFFF" w:fill="auto" w:val="clear"/>
          </w:tcPr>
          <w:p>
            <w:pPr>
              <w:pStyle w:val="Normal"/>
              <w:bidi w:val="0"/>
              <w:spacing w:lineRule="auto" w:line="240" w:before="0" w:after="0"/>
              <w:jc w:val="both"/>
              <w:rPr>
                <w:rFonts w:ascii="Times New Roman" w:hAnsi="Times New Roman"/>
                <w:b/>
                <w:b/>
                <w:sz w:val="20"/>
                <w:szCs w:val="20"/>
              </w:rPr>
            </w:pPr>
            <w:r>
              <w:rPr>
                <w:rFonts w:ascii="Times New Roman" w:hAnsi="Times New Roman"/>
                <w:b/>
                <w:sz w:val="20"/>
                <w:szCs w:val="20"/>
              </w:rPr>
              <w:t>Самыкин Иван Александрович (адрес рег: г. Самара, пр-т Карла Маркса, д. 12, кв. 34, ИНН 631580777451, паспорт РФ серия 3619, номер 717604, выдан 05.09.2019, кем выдан ГУ МВД России по Самарской области, код подразделения 630-011)</w:t>
            </w:r>
          </w:p>
        </w:tc>
      </w:tr>
      <w:tr>
        <w:trPr>
          <w:trHeight w:val="300" w:hRule="exact"/>
        </w:trPr>
        <w:tc>
          <w:tcPr>
            <w:tcW w:w="4724" w:type="dxa"/>
            <w:gridSpan w:val="5"/>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Реквизиты</w:t>
            </w:r>
          </w:p>
        </w:tc>
        <w:tc>
          <w:tcPr>
            <w:tcW w:w="5669" w:type="dxa"/>
            <w:gridSpan w:val="6"/>
            <w:vMerge w:val="continue"/>
            <w:tcBorders/>
            <w:shd w:color="FFFFFF" w:fill="auto" w:val="clear"/>
          </w:tcPr>
          <w:p>
            <w:pPr>
              <w:pStyle w:val="Normal"/>
              <w:bidi w:val="0"/>
              <w:spacing w:lineRule="auto" w:line="240" w:before="0" w:after="0"/>
              <w:jc w:val="both"/>
              <w:rPr>
                <w:rFonts w:ascii="Times New Roman" w:hAnsi="Times New Roman"/>
                <w:b/>
                <w:b/>
                <w:sz w:val="20"/>
                <w:szCs w:val="20"/>
              </w:rPr>
            </w:pPr>
            <w:r>
              <w:rPr>
                <w:rFonts w:ascii="Times New Roman" w:hAnsi="Times New Roman"/>
                <w:b/>
                <w:sz w:val="20"/>
                <w:szCs w:val="20"/>
              </w:rPr>
            </w:r>
          </w:p>
        </w:tc>
      </w:tr>
      <w:tr>
        <w:trPr>
          <w:trHeight w:val="495" w:hRule="exact"/>
        </w:trPr>
        <w:tc>
          <w:tcPr>
            <w:tcW w:w="4724" w:type="dxa"/>
            <w:gridSpan w:val="5"/>
            <w:tcBorders/>
            <w:shd w:color="FFFFFF" w:fill="auto" w:val="clear"/>
            <w:vAlign w:val="bottom"/>
          </w:tcPr>
          <w:p>
            <w:pPr>
              <w:pStyle w:val="Normal"/>
              <w:bidi w:val="0"/>
              <w:spacing w:lineRule="auto" w:line="240" w:before="0" w:after="0"/>
              <w:jc w:val="left"/>
              <w:rPr>
                <w:rFonts w:ascii="Times New Roman" w:hAnsi="Times New Roman"/>
                <w:sz w:val="20"/>
                <w:szCs w:val="20"/>
              </w:rPr>
            </w:pPr>
            <w:r>
              <w:rPr>
                <w:rFonts w:ascii="Times New Roman" w:hAnsi="Times New Roman"/>
                <w:sz w:val="20"/>
                <w:szCs w:val="20"/>
              </w:rPr>
              <w:t>Арбитражный управляющий Стоян Роман Сергеевич (ИНН 745310520162)</w:t>
            </w:r>
          </w:p>
        </w:tc>
        <w:tc>
          <w:tcPr>
            <w:tcW w:w="5669" w:type="dxa"/>
            <w:gridSpan w:val="6"/>
            <w:vMerge w:val="continue"/>
            <w:tcBorders/>
            <w:shd w:color="FFFFFF" w:fill="auto" w:val="clear"/>
          </w:tcPr>
          <w:p>
            <w:pPr>
              <w:pStyle w:val="Normal"/>
              <w:bidi w:val="0"/>
              <w:spacing w:lineRule="auto" w:line="240" w:before="0" w:after="0"/>
              <w:jc w:val="both"/>
              <w:rPr>
                <w:rFonts w:ascii="Times New Roman" w:hAnsi="Times New Roman"/>
                <w:b/>
                <w:b/>
                <w:sz w:val="20"/>
                <w:szCs w:val="20"/>
              </w:rPr>
            </w:pPr>
            <w:r>
              <w:rPr>
                <w:rFonts w:ascii="Times New Roman" w:hAnsi="Times New Roman"/>
                <w:b/>
                <w:sz w:val="20"/>
                <w:szCs w:val="20"/>
              </w:rPr>
            </w:r>
          </w:p>
        </w:tc>
      </w:tr>
      <w:tr>
        <w:trPr>
          <w:trHeight w:val="1215" w:hRule="exact"/>
        </w:trPr>
        <w:tc>
          <w:tcPr>
            <w:tcW w:w="4724" w:type="dxa"/>
            <w:gridSpan w:val="5"/>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Р/СЧ 40802810672000066576</w:t>
              <w:br/>
              <w:t>БИК 047501602</w:t>
              <w:br/>
              <w:t>КР/СЧ 30101810700000000602</w:t>
              <w:br/>
              <w:t>НАИМЕНОВАНИЕ БАНКА ЧЕЛЯБИНСКОЕ ОСБ N 8597</w:t>
            </w:r>
          </w:p>
        </w:tc>
        <w:tc>
          <w:tcPr>
            <w:tcW w:w="5669" w:type="dxa"/>
            <w:gridSpan w:val="6"/>
            <w:vMerge w:val="continue"/>
            <w:tcBorders/>
            <w:shd w:color="FFFFFF" w:fill="auto" w:val="clear"/>
          </w:tcPr>
          <w:p>
            <w:pPr>
              <w:pStyle w:val="Normal"/>
              <w:bidi w:val="0"/>
              <w:spacing w:lineRule="auto" w:line="240" w:before="0" w:after="0"/>
              <w:jc w:val="both"/>
              <w:rPr>
                <w:rFonts w:ascii="Times New Roman" w:hAnsi="Times New Roman"/>
                <w:b/>
                <w:b/>
                <w:sz w:val="20"/>
                <w:szCs w:val="20"/>
              </w:rPr>
            </w:pPr>
            <w:r>
              <w:rPr>
                <w:rFonts w:ascii="Times New Roman" w:hAnsi="Times New Roman"/>
                <w:b/>
                <w:sz w:val="20"/>
                <w:szCs w:val="20"/>
              </w:rPr>
            </w:r>
          </w:p>
        </w:tc>
      </w:tr>
      <w:tr>
        <w:trPr>
          <w:trHeight w:val="300" w:hRule="exact"/>
        </w:trPr>
        <w:tc>
          <w:tcPr>
            <w:tcW w:w="944" w:type="dxa"/>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r>
          </w:p>
        </w:tc>
        <w:tc>
          <w:tcPr>
            <w:tcW w:w="945" w:type="dxa"/>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r>
          </w:p>
        </w:tc>
        <w:tc>
          <w:tcPr>
            <w:tcW w:w="945" w:type="dxa"/>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r>
          </w:p>
        </w:tc>
        <w:tc>
          <w:tcPr>
            <w:tcW w:w="945" w:type="dxa"/>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r>
          </w:p>
        </w:tc>
        <w:tc>
          <w:tcPr>
            <w:tcW w:w="945" w:type="dxa"/>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r>
          </w:p>
        </w:tc>
        <w:tc>
          <w:tcPr>
            <w:tcW w:w="5669" w:type="dxa"/>
            <w:gridSpan w:val="6"/>
            <w:vMerge w:val="continue"/>
            <w:tcBorders/>
            <w:shd w:color="FFFFFF" w:fill="auto" w:val="clear"/>
          </w:tcPr>
          <w:p>
            <w:pPr>
              <w:pStyle w:val="Normal"/>
              <w:bidi w:val="0"/>
              <w:spacing w:lineRule="auto" w:line="240" w:before="0" w:after="0"/>
              <w:jc w:val="both"/>
              <w:rPr>
                <w:rFonts w:ascii="Times New Roman" w:hAnsi="Times New Roman"/>
                <w:b/>
                <w:b/>
                <w:sz w:val="20"/>
                <w:szCs w:val="20"/>
              </w:rPr>
            </w:pPr>
            <w:r>
              <w:rPr>
                <w:rFonts w:ascii="Times New Roman" w:hAnsi="Times New Roman"/>
                <w:b/>
                <w:sz w:val="20"/>
                <w:szCs w:val="20"/>
              </w:rPr>
            </w:r>
          </w:p>
        </w:tc>
      </w:tr>
      <w:tr>
        <w:trPr>
          <w:trHeight w:val="300" w:hRule="exact"/>
        </w:trPr>
        <w:tc>
          <w:tcPr>
            <w:tcW w:w="944" w:type="dxa"/>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r>
          </w:p>
        </w:tc>
        <w:tc>
          <w:tcPr>
            <w:tcW w:w="945" w:type="dxa"/>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r>
          </w:p>
        </w:tc>
        <w:tc>
          <w:tcPr>
            <w:tcW w:w="945" w:type="dxa"/>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r>
          </w:p>
        </w:tc>
        <w:tc>
          <w:tcPr>
            <w:tcW w:w="945" w:type="dxa"/>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r>
          </w:p>
        </w:tc>
        <w:tc>
          <w:tcPr>
            <w:tcW w:w="945" w:type="dxa"/>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r>
          </w:p>
        </w:tc>
        <w:tc>
          <w:tcPr>
            <w:tcW w:w="5669" w:type="dxa"/>
            <w:gridSpan w:val="6"/>
            <w:vMerge w:val="continue"/>
            <w:tcBorders/>
            <w:shd w:color="FFFFFF" w:fill="auto" w:val="clear"/>
          </w:tcPr>
          <w:p>
            <w:pPr>
              <w:pStyle w:val="Normal"/>
              <w:bidi w:val="0"/>
              <w:spacing w:lineRule="auto" w:line="240" w:before="0" w:after="0"/>
              <w:jc w:val="both"/>
              <w:rPr>
                <w:rFonts w:ascii="Times New Roman" w:hAnsi="Times New Roman"/>
                <w:b/>
                <w:b/>
                <w:sz w:val="20"/>
                <w:szCs w:val="20"/>
              </w:rPr>
            </w:pPr>
            <w:r>
              <w:rPr>
                <w:rFonts w:ascii="Times New Roman" w:hAnsi="Times New Roman"/>
                <w:b/>
                <w:sz w:val="20"/>
                <w:szCs w:val="20"/>
              </w:rPr>
            </w:r>
          </w:p>
        </w:tc>
      </w:tr>
      <w:tr>
        <w:trPr>
          <w:trHeight w:val="300" w:hRule="exact"/>
        </w:trPr>
        <w:tc>
          <w:tcPr>
            <w:tcW w:w="4724" w:type="dxa"/>
            <w:gridSpan w:val="5"/>
            <w:tcBorders/>
            <w:shd w:color="FFFFFF" w:fill="auto" w:val="clear"/>
            <w:vAlign w:val="bottom"/>
          </w:tcPr>
          <w:p>
            <w:pPr>
              <w:pStyle w:val="Normal"/>
              <w:bidi w:val="0"/>
              <w:spacing w:lineRule="auto" w:line="240" w:before="0" w:after="0"/>
              <w:jc w:val="both"/>
              <w:rPr>
                <w:rFonts w:ascii="Times New Roman" w:hAnsi="Times New Roman"/>
                <w:b/>
                <w:b/>
                <w:sz w:val="20"/>
                <w:szCs w:val="20"/>
              </w:rPr>
            </w:pPr>
            <w:r>
              <w:rPr>
                <w:rFonts w:ascii="Times New Roman" w:hAnsi="Times New Roman"/>
                <w:b/>
                <w:sz w:val="20"/>
                <w:szCs w:val="20"/>
              </w:rPr>
              <w:t>Финансовый управляющий</w:t>
            </w:r>
          </w:p>
        </w:tc>
        <w:tc>
          <w:tcPr>
            <w:tcW w:w="946" w:type="dxa"/>
            <w:tcBorders/>
            <w:shd w:color="FFFFFF" w:fill="auto" w:val="clear"/>
            <w:vAlign w:val="bottom"/>
          </w:tcPr>
          <w:p>
            <w:pPr>
              <w:pStyle w:val="Normal"/>
              <w:bidi w:val="0"/>
              <w:spacing w:lineRule="auto" w:line="240" w:before="0" w:after="0"/>
              <w:jc w:val="both"/>
              <w:rPr>
                <w:rFonts w:ascii="Times New Roman" w:hAnsi="Times New Roman"/>
                <w:sz w:val="22"/>
                <w:szCs w:val="22"/>
              </w:rPr>
            </w:pPr>
            <w:r>
              <w:rPr>
                <w:rFonts w:ascii="Times New Roman" w:hAnsi="Times New Roman"/>
                <w:sz w:val="22"/>
                <w:szCs w:val="22"/>
              </w:rPr>
            </w:r>
          </w:p>
        </w:tc>
        <w:tc>
          <w:tcPr>
            <w:tcW w:w="945" w:type="dxa"/>
            <w:tcBorders/>
            <w:shd w:color="FFFFFF" w:fill="auto" w:val="clear"/>
            <w:vAlign w:val="bottom"/>
          </w:tcPr>
          <w:p>
            <w:pPr>
              <w:pStyle w:val="Normal"/>
              <w:bidi w:val="0"/>
              <w:spacing w:lineRule="auto" w:line="240" w:before="0" w:after="0"/>
              <w:jc w:val="both"/>
              <w:rPr>
                <w:rFonts w:ascii="Times New Roman" w:hAnsi="Times New Roman"/>
                <w:sz w:val="22"/>
                <w:szCs w:val="22"/>
              </w:rPr>
            </w:pPr>
            <w:r>
              <w:rPr>
                <w:rFonts w:ascii="Times New Roman" w:hAnsi="Times New Roman"/>
                <w:sz w:val="22"/>
                <w:szCs w:val="22"/>
              </w:rPr>
            </w:r>
          </w:p>
        </w:tc>
        <w:tc>
          <w:tcPr>
            <w:tcW w:w="945" w:type="dxa"/>
            <w:tcBorders/>
            <w:shd w:color="FFFFFF" w:fill="auto" w:val="clear"/>
            <w:vAlign w:val="bottom"/>
          </w:tcPr>
          <w:p>
            <w:pPr>
              <w:pStyle w:val="Normal"/>
              <w:bidi w:val="0"/>
              <w:spacing w:lineRule="auto" w:line="240" w:before="0" w:after="0"/>
              <w:jc w:val="both"/>
              <w:rPr>
                <w:rFonts w:ascii="Times New Roman" w:hAnsi="Times New Roman"/>
                <w:sz w:val="22"/>
                <w:szCs w:val="22"/>
              </w:rPr>
            </w:pPr>
            <w:r>
              <w:rPr>
                <w:rFonts w:ascii="Times New Roman" w:hAnsi="Times New Roman"/>
                <w:sz w:val="22"/>
                <w:szCs w:val="22"/>
              </w:rPr>
            </w:r>
          </w:p>
        </w:tc>
        <w:tc>
          <w:tcPr>
            <w:tcW w:w="945" w:type="dxa"/>
            <w:tcBorders/>
            <w:shd w:color="FFFFFF" w:fill="auto" w:val="clear"/>
            <w:vAlign w:val="bottom"/>
          </w:tcPr>
          <w:p>
            <w:pPr>
              <w:pStyle w:val="Normal"/>
              <w:bidi w:val="0"/>
              <w:spacing w:lineRule="auto" w:line="240" w:before="0" w:after="0"/>
              <w:jc w:val="both"/>
              <w:rPr>
                <w:rFonts w:ascii="Times New Roman" w:hAnsi="Times New Roman"/>
                <w:sz w:val="22"/>
                <w:szCs w:val="22"/>
              </w:rPr>
            </w:pPr>
            <w:r>
              <w:rPr>
                <w:rFonts w:ascii="Times New Roman" w:hAnsi="Times New Roman"/>
                <w:sz w:val="22"/>
                <w:szCs w:val="22"/>
              </w:rPr>
            </w:r>
          </w:p>
        </w:tc>
        <w:tc>
          <w:tcPr>
            <w:tcW w:w="945" w:type="dxa"/>
            <w:tcBorders/>
            <w:shd w:color="FFFFFF" w:fill="auto" w:val="clear"/>
            <w:vAlign w:val="bottom"/>
          </w:tcPr>
          <w:p>
            <w:pPr>
              <w:pStyle w:val="Normal"/>
              <w:bidi w:val="0"/>
              <w:spacing w:lineRule="auto" w:line="240" w:before="0" w:after="0"/>
              <w:jc w:val="both"/>
              <w:rPr>
                <w:rFonts w:ascii="Times New Roman" w:hAnsi="Times New Roman"/>
                <w:sz w:val="22"/>
                <w:szCs w:val="22"/>
              </w:rPr>
            </w:pPr>
            <w:r>
              <w:rPr>
                <w:rFonts w:ascii="Times New Roman" w:hAnsi="Times New Roman"/>
                <w:sz w:val="22"/>
                <w:szCs w:val="22"/>
              </w:rPr>
            </w:r>
          </w:p>
        </w:tc>
        <w:tc>
          <w:tcPr>
            <w:tcW w:w="943" w:type="dxa"/>
            <w:tcBorders/>
            <w:shd w:color="FFFFFF" w:fill="auto" w:val="clear"/>
            <w:vAlign w:val="bottom"/>
          </w:tcPr>
          <w:p>
            <w:pPr>
              <w:pStyle w:val="Normal"/>
              <w:bidi w:val="0"/>
              <w:spacing w:lineRule="auto" w:line="240" w:before="0" w:after="0"/>
              <w:jc w:val="both"/>
              <w:rPr>
                <w:rFonts w:ascii="Times New Roman" w:hAnsi="Times New Roman"/>
                <w:sz w:val="22"/>
                <w:szCs w:val="22"/>
              </w:rPr>
            </w:pPr>
            <w:r>
              <w:rPr>
                <w:rFonts w:ascii="Times New Roman" w:hAnsi="Times New Roman"/>
                <w:sz w:val="22"/>
                <w:szCs w:val="22"/>
              </w:rPr>
            </w:r>
          </w:p>
        </w:tc>
      </w:tr>
      <w:tr>
        <w:trPr>
          <w:trHeight w:val="300" w:hRule="exact"/>
        </w:trPr>
        <w:tc>
          <w:tcPr>
            <w:tcW w:w="4724" w:type="dxa"/>
            <w:gridSpan w:val="5"/>
            <w:tcBorders/>
            <w:shd w:color="FFFFFF" w:fill="auto" w:val="clear"/>
            <w:vAlign w:val="bottom"/>
          </w:tcPr>
          <w:p>
            <w:pPr>
              <w:pStyle w:val="Normal"/>
              <w:bidi w:val="0"/>
              <w:spacing w:lineRule="auto" w:line="240" w:before="0" w:after="0"/>
              <w:jc w:val="both"/>
              <w:rPr>
                <w:rFonts w:ascii="Times New Roman" w:hAnsi="Times New Roman"/>
                <w:b/>
                <w:b/>
                <w:sz w:val="20"/>
                <w:szCs w:val="20"/>
              </w:rPr>
            </w:pPr>
            <w:r>
              <w:rPr>
                <w:rFonts w:ascii="Times New Roman" w:hAnsi="Times New Roman"/>
                <w:b/>
                <w:sz w:val="20"/>
                <w:szCs w:val="20"/>
              </w:rPr>
              <w:t>Сидорова Александра Михайловича</w:t>
            </w:r>
          </w:p>
        </w:tc>
        <w:tc>
          <w:tcPr>
            <w:tcW w:w="946" w:type="dxa"/>
            <w:tcBorders/>
            <w:shd w:color="FFFFFF" w:fill="auto" w:val="clear"/>
            <w:vAlign w:val="bottom"/>
          </w:tcPr>
          <w:p>
            <w:pPr>
              <w:pStyle w:val="Normal"/>
              <w:bidi w:val="0"/>
              <w:spacing w:lineRule="auto" w:line="240" w:before="0" w:after="0"/>
              <w:jc w:val="both"/>
              <w:rPr>
                <w:rFonts w:ascii="Times New Roman" w:hAnsi="Times New Roman"/>
                <w:sz w:val="22"/>
                <w:szCs w:val="22"/>
              </w:rPr>
            </w:pPr>
            <w:r>
              <w:rPr>
                <w:rFonts w:ascii="Times New Roman" w:hAnsi="Times New Roman"/>
                <w:sz w:val="22"/>
                <w:szCs w:val="22"/>
              </w:rPr>
            </w:r>
          </w:p>
        </w:tc>
        <w:tc>
          <w:tcPr>
            <w:tcW w:w="945" w:type="dxa"/>
            <w:tcBorders/>
            <w:shd w:color="FFFFFF" w:fill="auto" w:val="clear"/>
            <w:vAlign w:val="bottom"/>
          </w:tcPr>
          <w:p>
            <w:pPr>
              <w:pStyle w:val="Normal"/>
              <w:bidi w:val="0"/>
              <w:spacing w:lineRule="auto" w:line="240" w:before="0" w:after="0"/>
              <w:jc w:val="both"/>
              <w:rPr>
                <w:rFonts w:ascii="Times New Roman" w:hAnsi="Times New Roman"/>
                <w:sz w:val="22"/>
                <w:szCs w:val="22"/>
              </w:rPr>
            </w:pPr>
            <w:r>
              <w:rPr>
                <w:rFonts w:ascii="Times New Roman" w:hAnsi="Times New Roman"/>
                <w:sz w:val="22"/>
                <w:szCs w:val="22"/>
              </w:rPr>
            </w:r>
          </w:p>
        </w:tc>
        <w:tc>
          <w:tcPr>
            <w:tcW w:w="945" w:type="dxa"/>
            <w:tcBorders/>
            <w:shd w:color="FFFFFF" w:fill="auto" w:val="clear"/>
            <w:vAlign w:val="bottom"/>
          </w:tcPr>
          <w:p>
            <w:pPr>
              <w:pStyle w:val="Normal"/>
              <w:bidi w:val="0"/>
              <w:spacing w:lineRule="auto" w:line="240" w:before="0" w:after="0"/>
              <w:jc w:val="both"/>
              <w:rPr>
                <w:rFonts w:ascii="Times New Roman" w:hAnsi="Times New Roman"/>
                <w:sz w:val="22"/>
                <w:szCs w:val="22"/>
              </w:rPr>
            </w:pPr>
            <w:r>
              <w:rPr>
                <w:rFonts w:ascii="Times New Roman" w:hAnsi="Times New Roman"/>
                <w:sz w:val="22"/>
                <w:szCs w:val="22"/>
              </w:rPr>
            </w:r>
          </w:p>
        </w:tc>
        <w:tc>
          <w:tcPr>
            <w:tcW w:w="945" w:type="dxa"/>
            <w:tcBorders/>
            <w:shd w:color="FFFFFF" w:fill="auto" w:val="clear"/>
            <w:vAlign w:val="bottom"/>
          </w:tcPr>
          <w:p>
            <w:pPr>
              <w:pStyle w:val="Normal"/>
              <w:bidi w:val="0"/>
              <w:spacing w:lineRule="auto" w:line="240" w:before="0" w:after="0"/>
              <w:jc w:val="both"/>
              <w:rPr>
                <w:rFonts w:ascii="Times New Roman" w:hAnsi="Times New Roman"/>
                <w:sz w:val="22"/>
                <w:szCs w:val="22"/>
              </w:rPr>
            </w:pPr>
            <w:r>
              <w:rPr>
                <w:rFonts w:ascii="Times New Roman" w:hAnsi="Times New Roman"/>
                <w:sz w:val="22"/>
                <w:szCs w:val="22"/>
              </w:rPr>
            </w:r>
          </w:p>
        </w:tc>
        <w:tc>
          <w:tcPr>
            <w:tcW w:w="945" w:type="dxa"/>
            <w:tcBorders/>
            <w:shd w:color="FFFFFF" w:fill="auto" w:val="clear"/>
            <w:vAlign w:val="bottom"/>
          </w:tcPr>
          <w:p>
            <w:pPr>
              <w:pStyle w:val="Normal"/>
              <w:bidi w:val="0"/>
              <w:spacing w:lineRule="auto" w:line="240" w:before="0" w:after="0"/>
              <w:jc w:val="both"/>
              <w:rPr>
                <w:rFonts w:ascii="Times New Roman" w:hAnsi="Times New Roman"/>
                <w:sz w:val="22"/>
                <w:szCs w:val="22"/>
              </w:rPr>
            </w:pPr>
            <w:r>
              <w:rPr>
                <w:rFonts w:ascii="Times New Roman" w:hAnsi="Times New Roman"/>
                <w:sz w:val="22"/>
                <w:szCs w:val="22"/>
              </w:rPr>
            </w:r>
          </w:p>
        </w:tc>
        <w:tc>
          <w:tcPr>
            <w:tcW w:w="943" w:type="dxa"/>
            <w:tcBorders/>
            <w:shd w:color="FFFFFF" w:fill="auto" w:val="clear"/>
            <w:vAlign w:val="bottom"/>
          </w:tcPr>
          <w:p>
            <w:pPr>
              <w:pStyle w:val="Normal"/>
              <w:bidi w:val="0"/>
              <w:spacing w:lineRule="auto" w:line="240" w:before="0" w:after="0"/>
              <w:jc w:val="both"/>
              <w:rPr>
                <w:rFonts w:ascii="Times New Roman" w:hAnsi="Times New Roman"/>
                <w:sz w:val="22"/>
                <w:szCs w:val="22"/>
              </w:rPr>
            </w:pPr>
            <w:r>
              <w:rPr>
                <w:rFonts w:ascii="Times New Roman" w:hAnsi="Times New Roman"/>
                <w:sz w:val="22"/>
                <w:szCs w:val="22"/>
              </w:rPr>
            </w:r>
          </w:p>
        </w:tc>
      </w:tr>
      <w:tr>
        <w:trPr>
          <w:trHeight w:val="300" w:hRule="exact"/>
        </w:trPr>
        <w:tc>
          <w:tcPr>
            <w:tcW w:w="944" w:type="dxa"/>
            <w:tcBorders/>
            <w:shd w:color="FFFFFF" w:fill="auto" w:val="clear"/>
            <w:vAlign w:val="bottom"/>
          </w:tcPr>
          <w:p>
            <w:pPr>
              <w:pStyle w:val="Normal"/>
              <w:bidi w:val="0"/>
              <w:spacing w:lineRule="auto" w:line="240" w:before="0" w:after="0"/>
              <w:jc w:val="both"/>
              <w:rPr>
                <w:rFonts w:ascii="Times New Roman" w:hAnsi="Times New Roman"/>
                <w:b/>
                <w:b/>
                <w:sz w:val="20"/>
                <w:szCs w:val="20"/>
              </w:rPr>
            </w:pPr>
            <w:r>
              <w:rPr>
                <w:rFonts w:ascii="Times New Roman" w:hAnsi="Times New Roman"/>
                <w:b/>
                <w:sz w:val="20"/>
                <w:szCs w:val="20"/>
              </w:rPr>
            </w:r>
          </w:p>
        </w:tc>
        <w:tc>
          <w:tcPr>
            <w:tcW w:w="945" w:type="dxa"/>
            <w:tcBorders/>
            <w:shd w:color="FFFFFF" w:fill="auto" w:val="clear"/>
            <w:vAlign w:val="bottom"/>
          </w:tcPr>
          <w:p>
            <w:pPr>
              <w:pStyle w:val="Normal"/>
              <w:bidi w:val="0"/>
              <w:spacing w:lineRule="auto" w:line="240" w:before="0" w:after="0"/>
              <w:jc w:val="both"/>
              <w:rPr>
                <w:rFonts w:ascii="Times New Roman" w:hAnsi="Times New Roman"/>
                <w:sz w:val="22"/>
                <w:szCs w:val="22"/>
              </w:rPr>
            </w:pPr>
            <w:r>
              <w:rPr>
                <w:rFonts w:ascii="Times New Roman" w:hAnsi="Times New Roman"/>
                <w:sz w:val="22"/>
                <w:szCs w:val="22"/>
              </w:rPr>
            </w:r>
          </w:p>
        </w:tc>
        <w:tc>
          <w:tcPr>
            <w:tcW w:w="945" w:type="dxa"/>
            <w:tcBorders/>
            <w:shd w:color="FFFFFF" w:fill="auto" w:val="clear"/>
            <w:vAlign w:val="bottom"/>
          </w:tcPr>
          <w:p>
            <w:pPr>
              <w:pStyle w:val="Normal"/>
              <w:bidi w:val="0"/>
              <w:spacing w:lineRule="auto" w:line="240" w:before="0" w:after="0"/>
              <w:jc w:val="both"/>
              <w:rPr>
                <w:rFonts w:ascii="Times New Roman" w:hAnsi="Times New Roman"/>
                <w:sz w:val="22"/>
                <w:szCs w:val="22"/>
              </w:rPr>
            </w:pPr>
            <w:r>
              <w:rPr>
                <w:rFonts w:ascii="Times New Roman" w:hAnsi="Times New Roman"/>
                <w:sz w:val="22"/>
                <w:szCs w:val="22"/>
              </w:rPr>
            </w:r>
          </w:p>
        </w:tc>
        <w:tc>
          <w:tcPr>
            <w:tcW w:w="945" w:type="dxa"/>
            <w:tcBorders/>
            <w:shd w:color="FFFFFF" w:fill="auto" w:val="clear"/>
            <w:vAlign w:val="bottom"/>
          </w:tcPr>
          <w:p>
            <w:pPr>
              <w:pStyle w:val="Normal"/>
              <w:bidi w:val="0"/>
              <w:spacing w:lineRule="auto" w:line="240" w:before="0" w:after="0"/>
              <w:jc w:val="both"/>
              <w:rPr>
                <w:rFonts w:ascii="Times New Roman" w:hAnsi="Times New Roman"/>
                <w:sz w:val="22"/>
                <w:szCs w:val="22"/>
              </w:rPr>
            </w:pPr>
            <w:r>
              <w:rPr>
                <w:rFonts w:ascii="Times New Roman" w:hAnsi="Times New Roman"/>
                <w:sz w:val="22"/>
                <w:szCs w:val="22"/>
              </w:rPr>
            </w:r>
          </w:p>
        </w:tc>
        <w:tc>
          <w:tcPr>
            <w:tcW w:w="945" w:type="dxa"/>
            <w:tcBorders/>
            <w:shd w:color="FFFFFF" w:fill="auto" w:val="clear"/>
            <w:vAlign w:val="bottom"/>
          </w:tcPr>
          <w:p>
            <w:pPr>
              <w:pStyle w:val="Normal"/>
              <w:bidi w:val="0"/>
              <w:spacing w:lineRule="auto" w:line="240" w:before="0" w:after="0"/>
              <w:jc w:val="both"/>
              <w:rPr>
                <w:rFonts w:ascii="Times New Roman" w:hAnsi="Times New Roman"/>
                <w:sz w:val="22"/>
                <w:szCs w:val="22"/>
              </w:rPr>
            </w:pPr>
            <w:r>
              <w:rPr>
                <w:rFonts w:ascii="Times New Roman" w:hAnsi="Times New Roman"/>
                <w:sz w:val="22"/>
                <w:szCs w:val="22"/>
              </w:rPr>
            </w:r>
          </w:p>
        </w:tc>
        <w:tc>
          <w:tcPr>
            <w:tcW w:w="946" w:type="dxa"/>
            <w:tcBorders/>
            <w:shd w:color="FFFFFF" w:fill="auto" w:val="clear"/>
            <w:vAlign w:val="bottom"/>
          </w:tcPr>
          <w:p>
            <w:pPr>
              <w:pStyle w:val="Normal"/>
              <w:bidi w:val="0"/>
              <w:spacing w:lineRule="auto" w:line="240" w:before="0" w:after="0"/>
              <w:jc w:val="both"/>
              <w:rPr>
                <w:rFonts w:ascii="Times New Roman" w:hAnsi="Times New Roman"/>
                <w:sz w:val="22"/>
                <w:szCs w:val="22"/>
              </w:rPr>
            </w:pPr>
            <w:r>
              <w:rPr>
                <w:rFonts w:ascii="Times New Roman" w:hAnsi="Times New Roman"/>
                <w:sz w:val="22"/>
                <w:szCs w:val="22"/>
              </w:rPr>
            </w:r>
          </w:p>
        </w:tc>
        <w:tc>
          <w:tcPr>
            <w:tcW w:w="945" w:type="dxa"/>
            <w:tcBorders/>
            <w:shd w:color="FFFFFF" w:fill="auto" w:val="clear"/>
            <w:vAlign w:val="bottom"/>
          </w:tcPr>
          <w:p>
            <w:pPr>
              <w:pStyle w:val="Normal"/>
              <w:bidi w:val="0"/>
              <w:spacing w:lineRule="auto" w:line="240" w:before="0" w:after="0"/>
              <w:jc w:val="both"/>
              <w:rPr>
                <w:rFonts w:ascii="Times New Roman" w:hAnsi="Times New Roman"/>
                <w:sz w:val="22"/>
                <w:szCs w:val="22"/>
              </w:rPr>
            </w:pPr>
            <w:r>
              <w:rPr>
                <w:rFonts w:ascii="Times New Roman" w:hAnsi="Times New Roman"/>
                <w:sz w:val="22"/>
                <w:szCs w:val="22"/>
              </w:rPr>
            </w:r>
          </w:p>
        </w:tc>
        <w:tc>
          <w:tcPr>
            <w:tcW w:w="945" w:type="dxa"/>
            <w:tcBorders/>
            <w:shd w:color="FFFFFF" w:fill="auto" w:val="clear"/>
            <w:vAlign w:val="bottom"/>
          </w:tcPr>
          <w:p>
            <w:pPr>
              <w:pStyle w:val="Normal"/>
              <w:bidi w:val="0"/>
              <w:spacing w:lineRule="auto" w:line="240" w:before="0" w:after="0"/>
              <w:jc w:val="both"/>
              <w:rPr>
                <w:rFonts w:ascii="Times New Roman" w:hAnsi="Times New Roman"/>
                <w:sz w:val="22"/>
                <w:szCs w:val="22"/>
              </w:rPr>
            </w:pPr>
            <w:r>
              <w:rPr>
                <w:rFonts w:ascii="Times New Roman" w:hAnsi="Times New Roman"/>
                <w:sz w:val="22"/>
                <w:szCs w:val="22"/>
              </w:rPr>
            </w:r>
          </w:p>
        </w:tc>
        <w:tc>
          <w:tcPr>
            <w:tcW w:w="945" w:type="dxa"/>
            <w:tcBorders/>
            <w:shd w:color="FFFFFF" w:fill="auto" w:val="clear"/>
            <w:vAlign w:val="bottom"/>
          </w:tcPr>
          <w:p>
            <w:pPr>
              <w:pStyle w:val="Normal"/>
              <w:bidi w:val="0"/>
              <w:spacing w:lineRule="auto" w:line="240" w:before="0" w:after="0"/>
              <w:jc w:val="both"/>
              <w:rPr>
                <w:rFonts w:ascii="Times New Roman" w:hAnsi="Times New Roman"/>
                <w:sz w:val="22"/>
                <w:szCs w:val="22"/>
              </w:rPr>
            </w:pPr>
            <w:r>
              <w:rPr>
                <w:rFonts w:ascii="Times New Roman" w:hAnsi="Times New Roman"/>
                <w:sz w:val="22"/>
                <w:szCs w:val="22"/>
              </w:rPr>
            </w:r>
          </w:p>
        </w:tc>
        <w:tc>
          <w:tcPr>
            <w:tcW w:w="945" w:type="dxa"/>
            <w:tcBorders/>
            <w:shd w:color="FFFFFF" w:fill="auto" w:val="clear"/>
            <w:vAlign w:val="bottom"/>
          </w:tcPr>
          <w:p>
            <w:pPr>
              <w:pStyle w:val="Normal"/>
              <w:bidi w:val="0"/>
              <w:spacing w:lineRule="auto" w:line="240" w:before="0" w:after="0"/>
              <w:jc w:val="both"/>
              <w:rPr>
                <w:rFonts w:ascii="Times New Roman" w:hAnsi="Times New Roman"/>
                <w:sz w:val="22"/>
                <w:szCs w:val="22"/>
              </w:rPr>
            </w:pPr>
            <w:r>
              <w:rPr>
                <w:rFonts w:ascii="Times New Roman" w:hAnsi="Times New Roman"/>
                <w:sz w:val="22"/>
                <w:szCs w:val="22"/>
              </w:rPr>
            </w:r>
          </w:p>
        </w:tc>
        <w:tc>
          <w:tcPr>
            <w:tcW w:w="943" w:type="dxa"/>
            <w:tcBorders/>
            <w:shd w:color="FFFFFF" w:fill="auto" w:val="clear"/>
            <w:vAlign w:val="bottom"/>
          </w:tcPr>
          <w:p>
            <w:pPr>
              <w:pStyle w:val="Normal"/>
              <w:bidi w:val="0"/>
              <w:spacing w:lineRule="auto" w:line="240" w:before="0" w:after="0"/>
              <w:jc w:val="both"/>
              <w:rPr>
                <w:rFonts w:ascii="Times New Roman" w:hAnsi="Times New Roman"/>
                <w:sz w:val="22"/>
                <w:szCs w:val="22"/>
              </w:rPr>
            </w:pPr>
            <w:r>
              <w:rPr>
                <w:rFonts w:ascii="Times New Roman" w:hAnsi="Times New Roman"/>
                <w:sz w:val="22"/>
                <w:szCs w:val="22"/>
              </w:rPr>
            </w:r>
          </w:p>
        </w:tc>
      </w:tr>
      <w:tr>
        <w:trPr>
          <w:trHeight w:val="1035" w:hRule="exact"/>
        </w:trPr>
        <w:tc>
          <w:tcPr>
            <w:tcW w:w="2834" w:type="dxa"/>
            <w:gridSpan w:val="3"/>
            <w:tcBorders/>
            <w:shd w:color="FFFFFF" w:fill="auto" w:val="clear"/>
          </w:tcPr>
          <w:p>
            <w:pPr>
              <w:pStyle w:val="Normal"/>
              <w:bidi w:val="0"/>
              <w:spacing w:lineRule="auto" w:line="240" w:before="0" w:after="0"/>
              <w:jc w:val="both"/>
              <w:rPr>
                <w:rFonts w:ascii="Times New Roman" w:hAnsi="Times New Roman"/>
                <w:b/>
                <w:b/>
                <w:sz w:val="20"/>
                <w:szCs w:val="20"/>
              </w:rPr>
            </w:pPr>
            <w:r>
              <w:rPr>
                <w:rFonts w:ascii="Times New Roman" w:hAnsi="Times New Roman"/>
                <w:b/>
                <w:sz w:val="20"/>
                <w:szCs w:val="20"/>
              </w:rPr>
              <w:t>Стоян Роман Сергеевич</w:t>
            </w:r>
          </w:p>
        </w:tc>
        <w:tc>
          <w:tcPr>
            <w:tcW w:w="1890" w:type="dxa"/>
            <w:gridSpan w:val="2"/>
            <w:tcBorders/>
            <w:shd w:color="FFFFFF" w:fill="auto" w:val="clear"/>
          </w:tcPr>
          <w:p>
            <w:pPr>
              <w:pStyle w:val="Normal"/>
              <w:bidi w:val="0"/>
              <w:spacing w:lineRule="auto" w:line="240" w:before="0" w:after="0"/>
              <w:jc w:val="both"/>
              <w:rPr>
                <w:rFonts w:ascii="Times New Roman" w:hAnsi="Times New Roman"/>
                <w:sz w:val="22"/>
                <w:szCs w:val="22"/>
              </w:rPr>
            </w:pPr>
            <w:r>
              <w:rPr>
                <w:rFonts w:ascii="Times New Roman" w:hAnsi="Times New Roman"/>
                <w:sz w:val="22"/>
                <w:szCs w:val="22"/>
              </w:rPr>
              <w:t>______________</w:t>
            </w:r>
          </w:p>
        </w:tc>
        <w:tc>
          <w:tcPr>
            <w:tcW w:w="2836" w:type="dxa"/>
            <w:gridSpan w:val="3"/>
            <w:tcBorders/>
            <w:shd w:color="FFFFFF" w:fill="auto" w:val="clear"/>
          </w:tcPr>
          <w:p>
            <w:pPr>
              <w:pStyle w:val="Normal"/>
              <w:bidi w:val="0"/>
              <w:spacing w:lineRule="auto" w:line="240" w:before="0" w:after="0"/>
              <w:jc w:val="both"/>
              <w:rPr>
                <w:rFonts w:ascii="Times New Roman" w:hAnsi="Times New Roman"/>
                <w:b/>
                <w:b/>
                <w:sz w:val="20"/>
                <w:szCs w:val="20"/>
              </w:rPr>
            </w:pPr>
            <w:r>
              <w:rPr>
                <w:rFonts w:ascii="Times New Roman" w:hAnsi="Times New Roman"/>
                <w:b/>
                <w:sz w:val="20"/>
                <w:szCs w:val="20"/>
              </w:rPr>
              <w:t>Самыкин Иван Александрович</w:t>
            </w:r>
          </w:p>
        </w:tc>
        <w:tc>
          <w:tcPr>
            <w:tcW w:w="2833" w:type="dxa"/>
            <w:gridSpan w:val="3"/>
            <w:tcBorders/>
            <w:shd w:color="FFFFFF" w:fill="auto" w:val="clear"/>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____________________________</w:t>
            </w:r>
          </w:p>
        </w:tc>
      </w:tr>
    </w:tbl>
    <w:sectPr>
      <w:type w:val="nextPage"/>
      <w:pgSz w:w="11906" w:h="16838"/>
      <w:pgMar w:left="567" w:right="567" w:header="0" w:top="567" w:footer="0" w:bottom="567" w:gutter="0"/>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Liberation Sans">
    <w:altName w:val="Arial"/>
    <w:charset w:val="cc"/>
    <w:family w:val="swiss"/>
    <w:pitch w:val="variable"/>
  </w:font>
  <w:font w:name="Times New Roman">
    <w:charset w:val="cc"/>
    <w:family w:val="roman"/>
    <w:pitch w:val="variable"/>
  </w:font>
</w:fonts>
</file>

<file path=word/settings.xml><?xml version="1.0" encoding="utf-8"?>
<w:settings xmlns:w="http://schemas.openxmlformats.org/wordprocessingml/2006/main">
  <w:zoom w:percent="100"/>
  <w:defaultTabStop w:val="720"/>
  <w:autoHyphenation w:val="true"/>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NSimSun" w:cs="Arial"/>
        <w:kern w:val="2"/>
        <w:sz w:val="22"/>
        <w:szCs w:val="24"/>
        <w:lang w:val="ru-RU" w:eastAsia="zh-CN" w:bidi="hi-IN"/>
      </w:rPr>
    </w:rPrDefault>
    <w:pPrDefault>
      <w:pPr>
        <w:suppressAutoHyphens w:val="true"/>
      </w:pPr>
    </w:pPrDefault>
  </w:docDefaults>
  <w:style w:type="paragraph" w:styleId="Normal">
    <w:name w:val="Normal"/>
    <w:qFormat/>
    <w:pPr>
      <w:widowControl w:val="false"/>
      <w:bidi w:val="0"/>
    </w:pPr>
    <w:rPr>
      <w:rFonts w:ascii="Calibri" w:hAnsi="Calibri" w:eastAsia="NSimSun" w:cs="Arial"/>
      <w:color w:val="auto"/>
      <w:kern w:val="2"/>
      <w:sz w:val="22"/>
      <w:szCs w:val="24"/>
      <w:lang w:val="ru-RU" w:eastAsia="zh-CN" w:bidi="hi-IN"/>
    </w:rPr>
  </w:style>
  <w:style w:type="paragraph" w:styleId="Style14">
    <w:name w:val="Заголовок"/>
    <w:basedOn w:val="Normal"/>
    <w:next w:val="Style15"/>
    <w:qFormat/>
    <w:pPr>
      <w:keepNext w:val="true"/>
      <w:spacing w:before="240" w:after="120"/>
    </w:pPr>
    <w:rPr>
      <w:rFonts w:ascii="Liberation Sans" w:hAnsi="Liberation Sans" w:eastAsia="Microsoft YaHei" w:cs="Arial"/>
      <w:sz w:val="28"/>
      <w:szCs w:val="28"/>
    </w:rPr>
  </w:style>
  <w:style w:type="paragraph" w:styleId="Style15">
    <w:name w:val="Body Text"/>
    <w:basedOn w:val="Normal"/>
    <w:pPr>
      <w:spacing w:lineRule="auto" w:line="276" w:before="0" w:after="140"/>
    </w:pPr>
    <w:rPr/>
  </w:style>
  <w:style w:type="paragraph" w:styleId="Style16">
    <w:name w:val="List"/>
    <w:basedOn w:val="Style15"/>
    <w:pPr/>
    <w:rPr>
      <w:rFonts w:cs="Arial"/>
    </w:rPr>
  </w:style>
  <w:style w:type="paragraph" w:styleId="Style17">
    <w:name w:val="Caption"/>
    <w:basedOn w:val="Normal"/>
    <w:qFormat/>
    <w:pPr>
      <w:suppressLineNumbers/>
      <w:spacing w:before="120" w:after="120"/>
    </w:pPr>
    <w:rPr>
      <w:rFonts w:cs="Arial"/>
      <w:i/>
      <w:iCs/>
      <w:sz w:val="24"/>
      <w:szCs w:val="24"/>
    </w:rPr>
  </w:style>
  <w:style w:type="paragraph" w:styleId="Style18">
    <w:name w:val="Указатель"/>
    <w:basedOn w:val="Normal"/>
    <w:qFormat/>
    <w:pPr>
      <w:suppressLineNumbers/>
    </w:pPr>
    <w:rPr>
      <w:rFonts w:cs="Arial"/>
    </w:rPr>
  </w:style>
  <w:style w:type="table" w:styleId="TableStyle0">
    <w:name w:val="TableStyle0"/>
    <w:pPr>
      <w:spacing w:after="0" w:line="240" w:lineRule="auto"/>
    </w:pPr>
    <w:rPr>
      <w:sz w:val="16"/>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0</TotalTime>
  <Application>LibreOffice/6.4.2.2$Windows_X86_64 LibreOffice_project/4e471d8c02c9c90f512f7f9ead8875b57fcb1ec3</Application>
  <Pages>2</Pages>
  <Words>926</Words>
  <Characters>6501</Characters>
  <CharactersWithSpaces>7789</CharactersWithSpaces>
  <Paragraphs>53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2023-02-22T16:30:14Z</dcterms:modified>
  <cp:revision>1</cp:revision>
  <dc:subject/>
  <dc:title/>
</cp:coreProperties>
</file>